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50E1" w14:textId="2D2DD537" w:rsidR="008A5730" w:rsidRPr="00BB0B2E" w:rsidRDefault="00EC784E" w:rsidP="008A5730">
      <w:pPr>
        <w:spacing w:after="0" w:line="276" w:lineRule="auto"/>
        <w:ind w:right="566"/>
        <w:outlineLvl w:val="0"/>
        <w:rPr>
          <w:rFonts w:ascii="Myriad Pro" w:eastAsia="Times New Roman" w:hAnsi="Myriad Pro" w:cs="Times New Roman"/>
          <w:color w:val="5D5D5D"/>
          <w:shd w:val="clear" w:color="auto" w:fill="FFFFFF"/>
          <w:lang w:val="lv-LV"/>
        </w:rPr>
      </w:pPr>
      <w:r w:rsidRPr="00BB0B2E">
        <w:rPr>
          <w:rFonts w:ascii="Myriad Pro" w:eastAsia="Times New Roman" w:hAnsi="Myriad Pro" w:cs="Times New Roman"/>
          <w:color w:val="5D5D5D"/>
          <w:shd w:val="clear" w:color="auto" w:fill="FFFFFF"/>
          <w:lang w:val="lv-LV"/>
        </w:rPr>
        <w:t>Rīga, 2018</w:t>
      </w:r>
      <w:r w:rsidR="007E6A1D" w:rsidRPr="00BB0B2E">
        <w:rPr>
          <w:rFonts w:ascii="Myriad Pro" w:eastAsia="Times New Roman" w:hAnsi="Myriad Pro" w:cs="Times New Roman"/>
          <w:color w:val="5D5D5D"/>
          <w:shd w:val="clear" w:color="auto" w:fill="FFFFFF"/>
          <w:lang w:val="lv-LV"/>
        </w:rPr>
        <w:t xml:space="preserve">.gada </w:t>
      </w:r>
      <w:r w:rsidR="006569C4">
        <w:rPr>
          <w:rFonts w:ascii="Myriad Pro" w:eastAsia="Times New Roman" w:hAnsi="Myriad Pro" w:cs="Times New Roman"/>
          <w:color w:val="5D5D5D"/>
          <w:shd w:val="clear" w:color="auto" w:fill="FFFFFF"/>
          <w:lang w:val="lv-LV"/>
        </w:rPr>
        <w:t>6</w:t>
      </w:r>
      <w:r w:rsidR="00BB0B2E" w:rsidRPr="00BB0B2E">
        <w:rPr>
          <w:rFonts w:ascii="Myriad Pro" w:eastAsia="Times New Roman" w:hAnsi="Myriad Pro" w:cs="Times New Roman"/>
          <w:color w:val="5D5D5D"/>
          <w:shd w:val="clear" w:color="auto" w:fill="FFFFFF"/>
          <w:lang w:val="lv-LV"/>
        </w:rPr>
        <w:t>.jūlijs</w:t>
      </w:r>
    </w:p>
    <w:p w14:paraId="4A8F4246" w14:textId="77777777" w:rsidR="008A5730" w:rsidRPr="00BB0B2E" w:rsidRDefault="008A5730" w:rsidP="008A5730">
      <w:pPr>
        <w:spacing w:after="0" w:line="276" w:lineRule="auto"/>
        <w:ind w:right="566"/>
        <w:outlineLvl w:val="0"/>
        <w:rPr>
          <w:rFonts w:ascii="Myriad Pro" w:eastAsia="Times New Roman" w:hAnsi="Myriad Pro" w:cs="Times New Roman"/>
          <w:color w:val="5D5D5D"/>
          <w:shd w:val="clear" w:color="auto" w:fill="FFFFFF"/>
          <w:lang w:val="lv-LV"/>
        </w:rPr>
      </w:pPr>
    </w:p>
    <w:p w14:paraId="62582FC5" w14:textId="77777777" w:rsidR="00BB0B2E" w:rsidRPr="00BB0B2E" w:rsidRDefault="00EE1B87" w:rsidP="00733DBB">
      <w:pPr>
        <w:spacing w:after="0" w:line="276" w:lineRule="auto"/>
        <w:ind w:right="566"/>
        <w:outlineLvl w:val="0"/>
        <w:rPr>
          <w:rFonts w:ascii="Myriad Pro" w:eastAsia="Times New Roman" w:hAnsi="Myriad Pro" w:cs="Times New Roman"/>
          <w:b/>
          <w:color w:val="5D5D5D"/>
          <w:shd w:val="clear" w:color="auto" w:fill="FFFFFF"/>
          <w:lang w:val="lv-LV"/>
        </w:rPr>
      </w:pPr>
      <w:r w:rsidRPr="00BB0B2E">
        <w:rPr>
          <w:rFonts w:ascii="Myriad Pro" w:eastAsia="Times New Roman" w:hAnsi="Myriad Pro" w:cs="Times New Roman"/>
          <w:b/>
          <w:color w:val="5D5D5D"/>
          <w:shd w:val="clear" w:color="auto" w:fill="FFFFFF"/>
          <w:lang w:val="lv-LV"/>
        </w:rPr>
        <w:t>Atbilde</w:t>
      </w:r>
      <w:r w:rsidR="00E923D8" w:rsidRPr="00BB0B2E">
        <w:rPr>
          <w:rFonts w:ascii="Myriad Pro" w:eastAsia="Times New Roman" w:hAnsi="Myriad Pro" w:cs="Times New Roman"/>
          <w:b/>
          <w:color w:val="5D5D5D"/>
          <w:shd w:val="clear" w:color="auto" w:fill="FFFFFF"/>
          <w:lang w:val="lv-LV"/>
        </w:rPr>
        <w:t>s</w:t>
      </w:r>
      <w:r w:rsidRPr="00BB0B2E">
        <w:rPr>
          <w:rFonts w:ascii="Myriad Pro" w:eastAsia="Times New Roman" w:hAnsi="Myriad Pro" w:cs="Times New Roman"/>
          <w:b/>
          <w:color w:val="5D5D5D"/>
          <w:shd w:val="clear" w:color="auto" w:fill="FFFFFF"/>
          <w:lang w:val="lv-LV"/>
        </w:rPr>
        <w:t xml:space="preserve"> uz jautājum</w:t>
      </w:r>
      <w:r w:rsidR="00E923D8" w:rsidRPr="00BB0B2E">
        <w:rPr>
          <w:rFonts w:ascii="Myriad Pro" w:eastAsia="Times New Roman" w:hAnsi="Myriad Pro" w:cs="Times New Roman"/>
          <w:b/>
          <w:color w:val="5D5D5D"/>
          <w:shd w:val="clear" w:color="auto" w:fill="FFFFFF"/>
          <w:lang w:val="lv-LV"/>
        </w:rPr>
        <w:t>iem</w:t>
      </w:r>
      <w:r w:rsidRPr="00BB0B2E">
        <w:rPr>
          <w:rFonts w:ascii="Myriad Pro" w:eastAsia="Times New Roman" w:hAnsi="Myriad Pro" w:cs="Times New Roman"/>
          <w:b/>
          <w:color w:val="5D5D5D"/>
          <w:shd w:val="clear" w:color="auto" w:fill="FFFFFF"/>
          <w:lang w:val="lv-LV"/>
        </w:rPr>
        <w:t xml:space="preserve"> atklātā konkursā</w:t>
      </w:r>
    </w:p>
    <w:p w14:paraId="35E07945" w14:textId="7C519F46" w:rsidR="008A5730" w:rsidRPr="00BB0B2E" w:rsidRDefault="008A5730" w:rsidP="00733DBB">
      <w:pPr>
        <w:spacing w:after="0" w:line="276" w:lineRule="auto"/>
        <w:ind w:right="566"/>
        <w:outlineLvl w:val="0"/>
        <w:rPr>
          <w:rFonts w:ascii="Myriad Pro" w:eastAsia="Times New Roman" w:hAnsi="Myriad Pro" w:cs="Times New Roman"/>
          <w:b/>
          <w:color w:val="5D5D5D"/>
          <w:shd w:val="clear" w:color="auto" w:fill="FFFFFF"/>
          <w:lang w:val="lv-LV"/>
        </w:rPr>
      </w:pPr>
      <w:r w:rsidRPr="00BB0B2E">
        <w:rPr>
          <w:rFonts w:ascii="Myriad Pro" w:eastAsia="Times New Roman" w:hAnsi="Myriad Pro" w:cs="Times New Roman"/>
          <w:b/>
          <w:color w:val="5D5D5D"/>
          <w:shd w:val="clear" w:color="auto" w:fill="FFFFFF"/>
          <w:lang w:val="lv-LV"/>
        </w:rPr>
        <w:t xml:space="preserve"> </w:t>
      </w:r>
      <w:r w:rsidR="008E489D" w:rsidRPr="00BB0B2E">
        <w:rPr>
          <w:rFonts w:ascii="Myriad Pro" w:eastAsia="Times New Roman" w:hAnsi="Myriad Pro" w:cs="Times New Roman"/>
          <w:b/>
          <w:color w:val="5D5D5D"/>
          <w:shd w:val="clear" w:color="auto" w:fill="FFFFFF"/>
          <w:lang w:val="lv-LV"/>
        </w:rPr>
        <w:t>,,</w:t>
      </w:r>
      <w:r w:rsidR="00BB0B2E" w:rsidRPr="00BB0B2E">
        <w:rPr>
          <w:rFonts w:ascii="Myriad Pro" w:eastAsia="Times New Roman" w:hAnsi="Myriad Pro" w:cs="Times New Roman"/>
          <w:b/>
          <w:color w:val="5D5D5D"/>
          <w:shd w:val="clear" w:color="auto" w:fill="FFFFFF"/>
          <w:lang w:val="lv-LV"/>
        </w:rPr>
        <w:t xml:space="preserve">Mobilo sakaru un </w:t>
      </w:r>
      <w:proofErr w:type="spellStart"/>
      <w:r w:rsidR="00BB0B2E" w:rsidRPr="00BB0B2E">
        <w:rPr>
          <w:rFonts w:ascii="Myriad Pro" w:eastAsia="Times New Roman" w:hAnsi="Myriad Pro" w:cs="Times New Roman"/>
          <w:b/>
          <w:color w:val="5D5D5D"/>
          <w:shd w:val="clear" w:color="auto" w:fill="FFFFFF"/>
          <w:lang w:val="lv-LV"/>
        </w:rPr>
        <w:t>viedierīču</w:t>
      </w:r>
      <w:proofErr w:type="spellEnd"/>
      <w:r w:rsidR="00BB0B2E" w:rsidRPr="00BB0B2E">
        <w:rPr>
          <w:rFonts w:ascii="Myriad Pro" w:eastAsia="Times New Roman" w:hAnsi="Myriad Pro" w:cs="Times New Roman"/>
          <w:b/>
          <w:color w:val="5D5D5D"/>
          <w:shd w:val="clear" w:color="auto" w:fill="FFFFFF"/>
          <w:lang w:val="lv-LV"/>
        </w:rPr>
        <w:t xml:space="preserve"> nomas pakalpojumi”, </w:t>
      </w:r>
      <w:proofErr w:type="spellStart"/>
      <w:r w:rsidR="00BB0B2E" w:rsidRPr="00BB0B2E">
        <w:rPr>
          <w:rFonts w:ascii="Myriad Pro" w:eastAsia="Times New Roman" w:hAnsi="Myriad Pro" w:cs="Times New Roman"/>
          <w:b/>
          <w:color w:val="5D5D5D"/>
          <w:shd w:val="clear" w:color="auto" w:fill="FFFFFF"/>
          <w:lang w:val="lv-LV"/>
        </w:rPr>
        <w:t>id.Nr</w:t>
      </w:r>
      <w:proofErr w:type="spellEnd"/>
      <w:r w:rsidR="00BB0B2E" w:rsidRPr="00BB0B2E">
        <w:rPr>
          <w:rFonts w:ascii="Myriad Pro" w:eastAsia="Times New Roman" w:hAnsi="Myriad Pro" w:cs="Times New Roman"/>
          <w:b/>
          <w:color w:val="5D5D5D"/>
          <w:shd w:val="clear" w:color="auto" w:fill="FFFFFF"/>
          <w:lang w:val="lv-LV"/>
        </w:rPr>
        <w:t>. RBR 2018</w:t>
      </w:r>
      <w:r w:rsidR="008E489D" w:rsidRPr="00BB0B2E">
        <w:rPr>
          <w:rFonts w:ascii="Myriad Pro" w:eastAsia="Times New Roman" w:hAnsi="Myriad Pro" w:cs="Times New Roman"/>
          <w:b/>
          <w:color w:val="5D5D5D"/>
          <w:shd w:val="clear" w:color="auto" w:fill="FFFFFF"/>
          <w:lang w:val="lv-LV"/>
        </w:rPr>
        <w:t>/</w:t>
      </w:r>
      <w:r w:rsidR="00BB0B2E" w:rsidRPr="00BB0B2E">
        <w:rPr>
          <w:rFonts w:ascii="Myriad Pro" w:eastAsia="Times New Roman" w:hAnsi="Myriad Pro" w:cs="Times New Roman"/>
          <w:b/>
          <w:color w:val="5D5D5D"/>
          <w:shd w:val="clear" w:color="auto" w:fill="FFFFFF"/>
          <w:lang w:val="lv-LV"/>
        </w:rPr>
        <w:t>13</w:t>
      </w:r>
    </w:p>
    <w:p w14:paraId="7F99199D" w14:textId="77777777" w:rsidR="008A5730" w:rsidRPr="00BB0B2E" w:rsidRDefault="008A5730" w:rsidP="008A5730">
      <w:pPr>
        <w:spacing w:after="0" w:line="276" w:lineRule="auto"/>
        <w:ind w:right="566"/>
        <w:outlineLvl w:val="0"/>
        <w:rPr>
          <w:rFonts w:ascii="Myriad Pro" w:eastAsia="Times New Roman" w:hAnsi="Myriad Pro" w:cs="Times New Roman"/>
          <w:color w:val="5D5D5D"/>
          <w:shd w:val="clear" w:color="auto" w:fill="FFFFFF"/>
          <w:lang w:val="lv-LV"/>
        </w:rPr>
      </w:pPr>
    </w:p>
    <w:p w14:paraId="2F789C2A" w14:textId="69052408" w:rsidR="008A5730" w:rsidRPr="00BB0B2E" w:rsidRDefault="008A5730" w:rsidP="00F55FF4">
      <w:pPr>
        <w:spacing w:after="0" w:line="276" w:lineRule="auto"/>
        <w:ind w:right="566" w:firstLine="720"/>
        <w:jc w:val="both"/>
        <w:outlineLvl w:val="0"/>
        <w:rPr>
          <w:rFonts w:ascii="Myriad Pro" w:eastAsia="Times New Roman" w:hAnsi="Myriad Pro" w:cs="Times New Roman"/>
          <w:b/>
          <w:color w:val="5D5D5D"/>
          <w:shd w:val="clear" w:color="auto" w:fill="FFFFFF"/>
          <w:lang w:val="lv-LV"/>
        </w:rPr>
      </w:pPr>
      <w:r w:rsidRPr="00BB0B2E">
        <w:rPr>
          <w:rFonts w:ascii="Myriad Pro" w:eastAsia="Times New Roman" w:hAnsi="Myriad Pro" w:cs="Times New Roman"/>
          <w:color w:val="5D5D5D"/>
          <w:shd w:val="clear" w:color="auto" w:fill="FFFFFF"/>
          <w:lang w:val="lv-LV"/>
        </w:rPr>
        <w:t xml:space="preserve">RB Rail AS </w:t>
      </w:r>
      <w:r w:rsidR="00EE1B87" w:rsidRPr="00BB0B2E">
        <w:rPr>
          <w:rFonts w:ascii="Myriad Pro" w:eastAsia="Times New Roman" w:hAnsi="Myriad Pro" w:cs="Times New Roman"/>
          <w:color w:val="5D5D5D"/>
          <w:shd w:val="clear" w:color="auto" w:fill="FFFFFF"/>
          <w:lang w:val="lv-LV"/>
        </w:rPr>
        <w:t>sniedz</w:t>
      </w:r>
      <w:r w:rsidR="00A27AEA">
        <w:rPr>
          <w:rFonts w:ascii="Myriad Pro" w:eastAsia="Times New Roman" w:hAnsi="Myriad Pro" w:cs="Times New Roman"/>
          <w:color w:val="5D5D5D"/>
          <w:shd w:val="clear" w:color="auto" w:fill="FFFFFF"/>
          <w:lang w:val="lv-LV"/>
        </w:rPr>
        <w:t>a</w:t>
      </w:r>
      <w:r w:rsidR="00733DBB" w:rsidRPr="00BB0B2E">
        <w:rPr>
          <w:rFonts w:ascii="Myriad Pro" w:eastAsia="Times New Roman" w:hAnsi="Myriad Pro" w:cs="Times New Roman"/>
          <w:color w:val="5D5D5D"/>
          <w:shd w:val="clear" w:color="auto" w:fill="FFFFFF"/>
          <w:lang w:val="lv-LV"/>
        </w:rPr>
        <w:t xml:space="preserve"> </w:t>
      </w:r>
      <w:r w:rsidR="00A27AEA">
        <w:rPr>
          <w:rFonts w:ascii="Myriad Pro" w:eastAsia="Times New Roman" w:hAnsi="Myriad Pro" w:cs="Times New Roman"/>
          <w:color w:val="5D5D5D"/>
          <w:shd w:val="clear" w:color="auto" w:fill="FFFFFF"/>
          <w:lang w:val="lv-LV"/>
        </w:rPr>
        <w:t>šādas</w:t>
      </w:r>
      <w:r w:rsidR="00733DBB" w:rsidRPr="00BB0B2E">
        <w:rPr>
          <w:rFonts w:ascii="Myriad Pro" w:eastAsia="Times New Roman" w:hAnsi="Myriad Pro" w:cs="Times New Roman"/>
          <w:color w:val="5D5D5D"/>
          <w:shd w:val="clear" w:color="auto" w:fill="FFFFFF"/>
          <w:lang w:val="lv-LV"/>
        </w:rPr>
        <w:t xml:space="preserve"> atbild</w:t>
      </w:r>
      <w:r w:rsidR="00A27AEA">
        <w:rPr>
          <w:rFonts w:ascii="Myriad Pro" w:eastAsia="Times New Roman" w:hAnsi="Myriad Pro" w:cs="Times New Roman"/>
          <w:color w:val="5D5D5D"/>
          <w:shd w:val="clear" w:color="auto" w:fill="FFFFFF"/>
          <w:lang w:val="lv-LV"/>
        </w:rPr>
        <w:t>es</w:t>
      </w:r>
      <w:r w:rsidR="0048219F" w:rsidRPr="00BB0B2E">
        <w:rPr>
          <w:rFonts w:ascii="Myriad Pro" w:eastAsia="Times New Roman" w:hAnsi="Myriad Pro" w:cs="Times New Roman"/>
          <w:color w:val="5D5D5D"/>
          <w:shd w:val="clear" w:color="auto" w:fill="FFFFFF"/>
          <w:lang w:val="lv-LV"/>
        </w:rPr>
        <w:t xml:space="preserve"> uz ieinteresētā piegādātāja</w:t>
      </w:r>
      <w:r w:rsidR="00E923D8" w:rsidRPr="00BB0B2E">
        <w:rPr>
          <w:rFonts w:ascii="Myriad Pro" w:eastAsia="Times New Roman" w:hAnsi="Myriad Pro" w:cs="Times New Roman"/>
          <w:color w:val="5D5D5D"/>
          <w:shd w:val="clear" w:color="auto" w:fill="FFFFFF"/>
          <w:lang w:val="lv-LV"/>
        </w:rPr>
        <w:t xml:space="preserve"> uzdot</w:t>
      </w:r>
      <w:r w:rsidR="00A27AEA">
        <w:rPr>
          <w:rFonts w:ascii="Myriad Pro" w:eastAsia="Times New Roman" w:hAnsi="Myriad Pro" w:cs="Times New Roman"/>
          <w:color w:val="5D5D5D"/>
          <w:shd w:val="clear" w:color="auto" w:fill="FFFFFF"/>
          <w:lang w:val="lv-LV"/>
        </w:rPr>
        <w:t>ajiem</w:t>
      </w:r>
      <w:r w:rsidR="00EE1B87" w:rsidRPr="00BB0B2E">
        <w:rPr>
          <w:rFonts w:ascii="Myriad Pro" w:eastAsia="Times New Roman" w:hAnsi="Myriad Pro" w:cs="Times New Roman"/>
          <w:color w:val="5D5D5D"/>
          <w:shd w:val="clear" w:color="auto" w:fill="FFFFFF"/>
          <w:lang w:val="lv-LV"/>
        </w:rPr>
        <w:t xml:space="preserve"> jautājum</w:t>
      </w:r>
      <w:r w:rsidR="00A27AEA">
        <w:rPr>
          <w:rFonts w:ascii="Myriad Pro" w:eastAsia="Times New Roman" w:hAnsi="Myriad Pro" w:cs="Times New Roman"/>
          <w:color w:val="5D5D5D"/>
          <w:shd w:val="clear" w:color="auto" w:fill="FFFFFF"/>
          <w:lang w:val="lv-LV"/>
        </w:rPr>
        <w:t>iem</w:t>
      </w:r>
      <w:r w:rsidR="00F55FF4" w:rsidRPr="00BB0B2E">
        <w:rPr>
          <w:rFonts w:ascii="Myriad Pro" w:eastAsia="Times New Roman" w:hAnsi="Myriad Pro" w:cs="Times New Roman"/>
          <w:color w:val="5D5D5D"/>
          <w:shd w:val="clear" w:color="auto" w:fill="FFFFFF"/>
          <w:lang w:val="lv-LV"/>
        </w:rPr>
        <w:t>, kur</w:t>
      </w:r>
      <w:r w:rsidR="00A27AEA">
        <w:rPr>
          <w:rFonts w:ascii="Myriad Pro" w:eastAsia="Times New Roman" w:hAnsi="Myriad Pro" w:cs="Times New Roman"/>
          <w:color w:val="5D5D5D"/>
          <w:shd w:val="clear" w:color="auto" w:fill="FFFFFF"/>
          <w:lang w:val="lv-LV"/>
        </w:rPr>
        <w:t>i</w:t>
      </w:r>
      <w:r w:rsidR="00F55FF4" w:rsidRPr="00BB0B2E">
        <w:rPr>
          <w:rFonts w:ascii="Myriad Pro" w:eastAsia="Times New Roman" w:hAnsi="Myriad Pro" w:cs="Times New Roman"/>
          <w:color w:val="5D5D5D"/>
          <w:shd w:val="clear" w:color="auto" w:fill="FFFFFF"/>
          <w:lang w:val="lv-LV"/>
        </w:rPr>
        <w:t xml:space="preserve"> iesniegt</w:t>
      </w:r>
      <w:r w:rsidR="00A27AEA">
        <w:rPr>
          <w:rFonts w:ascii="Myriad Pro" w:eastAsia="Times New Roman" w:hAnsi="Myriad Pro" w:cs="Times New Roman"/>
          <w:color w:val="5D5D5D"/>
          <w:shd w:val="clear" w:color="auto" w:fill="FFFFFF"/>
          <w:lang w:val="lv-LV"/>
        </w:rPr>
        <w:t>i</w:t>
      </w:r>
      <w:r w:rsidR="00F55FF4" w:rsidRPr="00BB0B2E">
        <w:rPr>
          <w:rFonts w:ascii="Myriad Pro" w:eastAsia="Times New Roman" w:hAnsi="Myriad Pro" w:cs="Times New Roman"/>
          <w:color w:val="5D5D5D"/>
          <w:shd w:val="clear" w:color="auto" w:fill="FFFFFF"/>
          <w:lang w:val="lv-LV"/>
        </w:rPr>
        <w:t xml:space="preserve"> līdz 2018.gada </w:t>
      </w:r>
      <w:r w:rsidR="00A27AEA">
        <w:rPr>
          <w:rFonts w:ascii="Myriad Pro" w:eastAsia="Times New Roman" w:hAnsi="Myriad Pro" w:cs="Times New Roman"/>
          <w:color w:val="5D5D5D"/>
          <w:shd w:val="clear" w:color="auto" w:fill="FFFFFF"/>
          <w:lang w:val="lv-LV"/>
        </w:rPr>
        <w:t>5</w:t>
      </w:r>
      <w:bookmarkStart w:id="0" w:name="_GoBack"/>
      <w:bookmarkEnd w:id="0"/>
      <w:r w:rsidR="00A27AEA">
        <w:rPr>
          <w:rFonts w:ascii="Myriad Pro" w:eastAsia="Times New Roman" w:hAnsi="Myriad Pro" w:cs="Times New Roman"/>
          <w:color w:val="5D5D5D"/>
          <w:shd w:val="clear" w:color="auto" w:fill="FFFFFF"/>
          <w:lang w:val="lv-LV"/>
        </w:rPr>
        <w:t>.jūlijam</w:t>
      </w:r>
      <w:r w:rsidR="00EE1B87" w:rsidRPr="00BB0B2E">
        <w:rPr>
          <w:rFonts w:ascii="Myriad Pro" w:eastAsia="Times New Roman" w:hAnsi="Myriad Pro" w:cs="Times New Roman"/>
          <w:color w:val="5D5D5D"/>
          <w:shd w:val="clear" w:color="auto" w:fill="FFFFFF"/>
          <w:lang w:val="lv-LV"/>
        </w:rPr>
        <w:t>:</w:t>
      </w:r>
      <w:r w:rsidRPr="00BB0B2E">
        <w:rPr>
          <w:rFonts w:ascii="Myriad Pro" w:eastAsia="Times New Roman" w:hAnsi="Myriad Pro" w:cs="Times New Roman"/>
          <w:b/>
          <w:color w:val="5D5D5D"/>
          <w:shd w:val="clear" w:color="auto" w:fill="FFFFFF"/>
          <w:lang w:val="lv-LV"/>
        </w:rPr>
        <w:t xml:space="preserve"> </w:t>
      </w:r>
    </w:p>
    <w:tbl>
      <w:tblPr>
        <w:tblStyle w:val="TableGrid1"/>
        <w:tblW w:w="9781" w:type="dxa"/>
        <w:tblInd w:w="-5" w:type="dxa"/>
        <w:tblLook w:val="04A0" w:firstRow="1" w:lastRow="0" w:firstColumn="1" w:lastColumn="0" w:noHBand="0" w:noVBand="1"/>
      </w:tblPr>
      <w:tblGrid>
        <w:gridCol w:w="389"/>
        <w:gridCol w:w="3722"/>
        <w:gridCol w:w="5670"/>
      </w:tblGrid>
      <w:tr w:rsidR="008A5730" w:rsidRPr="00BB0B2E" w14:paraId="46C0309C" w14:textId="77777777" w:rsidTr="006569C4">
        <w:tc>
          <w:tcPr>
            <w:tcW w:w="389" w:type="dxa"/>
          </w:tcPr>
          <w:p w14:paraId="410BC21D" w14:textId="2F66689A" w:rsidR="008A5730" w:rsidRPr="00BB0B2E" w:rsidRDefault="008A5730" w:rsidP="008A5730">
            <w:pPr>
              <w:ind w:left="-113" w:right="-108"/>
              <w:rPr>
                <w:rFonts w:ascii="Myriad Pro" w:hAnsi="Myriad Pro"/>
                <w:b/>
                <w:sz w:val="22"/>
              </w:rPr>
            </w:pPr>
            <w:bookmarkStart w:id="1" w:name="_Hlk482887351"/>
            <w:r w:rsidRPr="00BB0B2E">
              <w:rPr>
                <w:rFonts w:ascii="Myriad Pro" w:hAnsi="Myriad Pro"/>
                <w:b/>
                <w:sz w:val="22"/>
              </w:rPr>
              <w:t>N</w:t>
            </w:r>
            <w:r w:rsidR="00E923D8" w:rsidRPr="00BB0B2E">
              <w:rPr>
                <w:rFonts w:ascii="Myriad Pro" w:hAnsi="Myriad Pro"/>
                <w:b/>
                <w:sz w:val="22"/>
              </w:rPr>
              <w:t>r</w:t>
            </w:r>
            <w:r w:rsidR="00785864" w:rsidRPr="00BB0B2E">
              <w:rPr>
                <w:rFonts w:ascii="Myriad Pro" w:hAnsi="Myriad Pro"/>
                <w:b/>
                <w:sz w:val="22"/>
              </w:rPr>
              <w:t>.</w:t>
            </w:r>
          </w:p>
        </w:tc>
        <w:tc>
          <w:tcPr>
            <w:tcW w:w="3722" w:type="dxa"/>
          </w:tcPr>
          <w:p w14:paraId="7B22979E" w14:textId="35E57236" w:rsidR="008A5730" w:rsidRPr="00BB0B2E" w:rsidRDefault="00EE1B87" w:rsidP="008A5730">
            <w:pPr>
              <w:tabs>
                <w:tab w:val="left" w:pos="1335"/>
              </w:tabs>
              <w:rPr>
                <w:rFonts w:ascii="Myriad Pro" w:hAnsi="Myriad Pro"/>
                <w:b/>
                <w:color w:val="404040"/>
                <w:sz w:val="22"/>
              </w:rPr>
            </w:pPr>
            <w:r w:rsidRPr="00BB0B2E">
              <w:rPr>
                <w:rFonts w:ascii="Myriad Pro" w:hAnsi="Myriad Pro"/>
                <w:b/>
                <w:color w:val="404040"/>
                <w:sz w:val="22"/>
              </w:rPr>
              <w:t>Jautājums</w:t>
            </w:r>
            <w:r w:rsidR="008A5730" w:rsidRPr="00BB0B2E">
              <w:rPr>
                <w:rFonts w:ascii="Myriad Pro" w:hAnsi="Myriad Pro"/>
                <w:b/>
                <w:color w:val="404040"/>
                <w:sz w:val="22"/>
              </w:rPr>
              <w:tab/>
            </w:r>
          </w:p>
        </w:tc>
        <w:tc>
          <w:tcPr>
            <w:tcW w:w="5670" w:type="dxa"/>
          </w:tcPr>
          <w:p w14:paraId="791F745E" w14:textId="2B2B65F9" w:rsidR="008A5730" w:rsidRPr="00BB0B2E" w:rsidRDefault="00EE1B87" w:rsidP="008A5730">
            <w:pPr>
              <w:rPr>
                <w:rFonts w:ascii="Myriad Pro" w:hAnsi="Myriad Pro"/>
                <w:b/>
                <w:color w:val="404040"/>
                <w:sz w:val="22"/>
              </w:rPr>
            </w:pPr>
            <w:r w:rsidRPr="00BB0B2E">
              <w:rPr>
                <w:rFonts w:ascii="Myriad Pro" w:hAnsi="Myriad Pro"/>
                <w:b/>
                <w:color w:val="404040"/>
                <w:sz w:val="22"/>
              </w:rPr>
              <w:t>Atbilde</w:t>
            </w:r>
          </w:p>
        </w:tc>
      </w:tr>
      <w:tr w:rsidR="008A5730" w:rsidRPr="00BB0B2E" w14:paraId="392E833B" w14:textId="77777777" w:rsidTr="006569C4">
        <w:trPr>
          <w:trHeight w:val="2834"/>
        </w:trPr>
        <w:tc>
          <w:tcPr>
            <w:tcW w:w="389" w:type="dxa"/>
          </w:tcPr>
          <w:p w14:paraId="5615B141" w14:textId="77777777" w:rsidR="008A5730" w:rsidRPr="00BB0B2E" w:rsidRDefault="008A5730" w:rsidP="008A5730">
            <w:pPr>
              <w:numPr>
                <w:ilvl w:val="0"/>
                <w:numId w:val="1"/>
              </w:numPr>
              <w:ind w:left="313"/>
              <w:rPr>
                <w:rFonts w:ascii="Myriad Pro" w:hAnsi="Myriad Pro"/>
                <w:sz w:val="22"/>
              </w:rPr>
            </w:pPr>
          </w:p>
        </w:tc>
        <w:tc>
          <w:tcPr>
            <w:tcW w:w="3722" w:type="dxa"/>
          </w:tcPr>
          <w:p w14:paraId="268DE3D1" w14:textId="14E8C3A8" w:rsidR="00D94A13" w:rsidRPr="00BB0B2E" w:rsidRDefault="00D94A13"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___</w:t>
            </w:r>
            <w:r w:rsidR="00DD0336" w:rsidRPr="00BB0B2E">
              <w:rPr>
                <w:rFonts w:ascii="Myriad Pro" w:hAnsi="Myriad Pro" w:cs="Times New Roman"/>
                <w:color w:val="404040"/>
                <w:sz w:val="22"/>
                <w:lang w:eastAsia="en-US"/>
              </w:rPr>
              <w:t>___</w:t>
            </w:r>
            <w:r w:rsidRPr="00BB0B2E">
              <w:rPr>
                <w:rFonts w:ascii="Myriad Pro" w:hAnsi="Myriad Pro" w:cs="Times New Roman"/>
                <w:color w:val="404040"/>
                <w:sz w:val="22"/>
                <w:lang w:eastAsia="en-US"/>
              </w:rPr>
              <w:t xml:space="preserve">_____ ir iepazinusies ar RB Rail AS (turpmāk – Pasūtītājs) izsludinātā iepirkuma “Mobilo sakaru un </w:t>
            </w:r>
            <w:proofErr w:type="spellStart"/>
            <w:r w:rsidRPr="00BB0B2E">
              <w:rPr>
                <w:rFonts w:ascii="Myriad Pro" w:hAnsi="Myriad Pro" w:cs="Times New Roman"/>
                <w:color w:val="404040"/>
                <w:sz w:val="22"/>
                <w:lang w:eastAsia="en-US"/>
              </w:rPr>
              <w:t>viedierīču</w:t>
            </w:r>
            <w:proofErr w:type="spellEnd"/>
            <w:r w:rsidRPr="00BB0B2E">
              <w:rPr>
                <w:rFonts w:ascii="Myriad Pro" w:hAnsi="Myriad Pro" w:cs="Times New Roman"/>
                <w:color w:val="404040"/>
                <w:sz w:val="22"/>
                <w:lang w:eastAsia="en-US"/>
              </w:rPr>
              <w:t xml:space="preserve"> nomas pakalpojumi” (turpmāk tekstā – Konkurss) nolikumu (turpmāk tekstā Nolikums) un lūdz Pasūtītāju veikt grozījumus Nolikuma 2. pielikuma – tehniskās specifikācijas 2. punktā atbilstoši zemāk norādītajam, lai nepamatoti neierobežotu konkurenci un nodrošinātu objektīvu Konkursa piedāvājumu izvērtēšanu.</w:t>
            </w:r>
          </w:p>
          <w:p w14:paraId="529AD46B" w14:textId="77777777" w:rsidR="00D94A13" w:rsidRPr="00BB0B2E" w:rsidRDefault="00D94A13"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Saskaņā ar Nolikuma Tabulā Nr. 2 iekļauto kritēriju “Tīkla pārklājuma nodrošinājums pēc aktīvo bāzes staciju veida un skaita”: (turpmāk tekstā – Kritēriji), Pasūtītājs saimnieciski visizdevīgākā piedāvājuma noteikšanai ir paredzējis vērtēt pretendenta mobilo sakaru tīkla pārklājuma nodrošinājumu pēc aktīvo bāzes staciju veida un skaita.</w:t>
            </w:r>
          </w:p>
          <w:p w14:paraId="1B06337E" w14:textId="3C5D6E9C" w:rsidR="00D94A13" w:rsidRPr="00BB0B2E" w:rsidRDefault="00D94A13"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 xml:space="preserve">Vēlamies vērst Pasūtītāja uzmanību, ka katram mobilo sakaru operatoram kvalitatīva pārklājuma nodrošināšanai nepieciešamo bāzes staciju skaitu ietekmē vairāki faktori – mobilo sakaru operatora izmantotās tehnoloģijas, tīkla plānojums (bāzes staciju izvietojums, bāzes staciju augstums, apkārtējās vides raksturs, reljefs un signālu traucējoši un slāpējoši faktori ap tām), kā arī operatora klientu mobilo sakaru lietošanas paradumi. Šie ir </w:t>
            </w:r>
            <w:r w:rsidRPr="00BB0B2E">
              <w:rPr>
                <w:rFonts w:ascii="Myriad Pro" w:hAnsi="Myriad Pro" w:cs="Times New Roman"/>
                <w:color w:val="404040"/>
                <w:sz w:val="22"/>
                <w:lang w:eastAsia="en-US"/>
              </w:rPr>
              <w:lastRenderedPageBreak/>
              <w:t>raksturlielumi, kas katram mobilo sakaru operatoram ir atšķirīgi un līdz ar to, pat ja diviem mobilo sakaru operatoriem uzstādīto bāzes staciju skaits ir vienāds, pārklājuma aptveramība un kvalitāte var būtiski atšķirties. Tāpēc, ir nepamatoti uzskatīt, ka, jo lielāks ir bāzes staciju skaits, jo tiek nodrošināti kvalitatīvāki mobilo sakaru pakalpojumi.</w:t>
            </w:r>
          </w:p>
          <w:p w14:paraId="01698992" w14:textId="5CC25ECD" w:rsidR="00D94A13" w:rsidRPr="00BB0B2E" w:rsidRDefault="00D94A13"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 xml:space="preserve">Atkarībā no elektronisko sakaru operatora stratēģijas vienādas kvalitātes tīklu var izbūvēt kā ar bāzes staciju skaitu x, tā ar bāzes staciju skaitu 2x. Bāzes staciju skaits būs atkarīgs no izvēlētā frekvenču spektra. 800 </w:t>
            </w:r>
            <w:proofErr w:type="spellStart"/>
            <w:r w:rsidRPr="00BB0B2E">
              <w:rPr>
                <w:rFonts w:ascii="Myriad Pro" w:hAnsi="Myriad Pro" w:cs="Times New Roman"/>
                <w:color w:val="404040"/>
                <w:sz w:val="22"/>
                <w:lang w:eastAsia="en-US"/>
              </w:rPr>
              <w:t>MHz</w:t>
            </w:r>
            <w:proofErr w:type="spellEnd"/>
            <w:r w:rsidRPr="00BB0B2E">
              <w:rPr>
                <w:rFonts w:ascii="Myriad Pro" w:hAnsi="Myriad Pro" w:cs="Times New Roman"/>
                <w:color w:val="404040"/>
                <w:sz w:val="22"/>
                <w:lang w:eastAsia="en-US"/>
              </w:rPr>
              <w:t xml:space="preserve"> frekvencē mobilā tīkla pārklājums būs reizes četras lielāks nekā 1800 </w:t>
            </w:r>
            <w:proofErr w:type="spellStart"/>
            <w:r w:rsidRPr="00BB0B2E">
              <w:rPr>
                <w:rFonts w:ascii="Myriad Pro" w:hAnsi="Myriad Pro" w:cs="Times New Roman"/>
                <w:color w:val="404040"/>
                <w:sz w:val="22"/>
                <w:lang w:eastAsia="en-US"/>
              </w:rPr>
              <w:t>MHz</w:t>
            </w:r>
            <w:proofErr w:type="spellEnd"/>
            <w:r w:rsidRPr="00BB0B2E">
              <w:rPr>
                <w:rFonts w:ascii="Myriad Pro" w:hAnsi="Myriad Pro" w:cs="Times New Roman"/>
                <w:color w:val="404040"/>
                <w:sz w:val="22"/>
                <w:lang w:eastAsia="en-US"/>
              </w:rPr>
              <w:t xml:space="preserve"> izbūvētās bāzes staciju pārklājums. 2,3 GHz un 2,6 GHz uzbūvēto  staciju skaits norāda, cik ļoti noslogots attiecīgā operatora tīkls. Jo lielāks bāzes staciju skaits, jo lielāka ir kopējā tīkla noslodze.</w:t>
            </w:r>
          </w:p>
          <w:p w14:paraId="27BBC906" w14:textId="70ACE1AC" w:rsidR="00D94A13" w:rsidRPr="00BB0B2E" w:rsidRDefault="00DA5894"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Līdz ar to mobilo elektronisko skaru tīkla pārklājuma nodrošinājuma mērīšana pēc aktīvo bāzes staciju veida un skaita nenodrošina objektīvu piedāvājumu salīdzināšanu, turklāt tā rezultātā augstāku novērtējumu saņem pretendents, kura nodrošinātais pārklājums, iespējams, nav tik plašs un ar tik augstu kapacitāti, kas, _______ieskatā, acīmredzami norāda uz šādu vērtēšanas kritēriju neobjektivitāti. Līdz ar to šie kritēriji ne tikai diskriminē un padara nekonkurētspējīgākus mobilo sakaru operatorus ar mazāku bāzes staciju skaitu, bet arī nenodrošina Konkursā norādīto mērķu sasniegšanu.</w:t>
            </w:r>
          </w:p>
          <w:p w14:paraId="335A7048" w14:textId="487DCA41" w:rsidR="00DA5894" w:rsidRPr="00BB0B2E" w:rsidRDefault="00DA5894"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 xml:space="preserve">Arī VAS “Elektroniskie sakari”, Sabiedrisko pakalpojumu regulēšanas komisija, kā arī Eiropas Elektronisko sakaru regulatoru iestādes birojs (BEREC), tas ir, kompetentās iestādes elektronisko </w:t>
            </w:r>
            <w:r w:rsidRPr="00BB0B2E">
              <w:rPr>
                <w:rFonts w:ascii="Myriad Pro" w:hAnsi="Myriad Pro" w:cs="Times New Roman"/>
                <w:color w:val="404040"/>
                <w:sz w:val="22"/>
                <w:lang w:eastAsia="en-US"/>
              </w:rPr>
              <w:lastRenderedPageBreak/>
              <w:t>sakaru jomā, savos mobilo sakaru pakalpojumu iepirkumos kā kritēriju kvalitatīva pakalpojuma sniegšanai neizmanto bāzes staciju skaitu, jo mobilo sakaru tīkls</w:t>
            </w:r>
            <w:r w:rsidR="00B3506E" w:rsidRPr="00BB0B2E">
              <w:rPr>
                <w:rFonts w:ascii="Myriad Pro" w:hAnsi="Myriad Pro" w:cs="Times New Roman"/>
                <w:color w:val="404040"/>
                <w:sz w:val="22"/>
                <w:lang w:eastAsia="en-US"/>
              </w:rPr>
              <w:t>,</w:t>
            </w:r>
            <w:r w:rsidRPr="00BB0B2E">
              <w:rPr>
                <w:rFonts w:ascii="Myriad Pro" w:hAnsi="Myriad Pro" w:cs="Times New Roman"/>
                <w:color w:val="404040"/>
                <w:sz w:val="22"/>
                <w:lang w:eastAsia="en-US"/>
              </w:rPr>
              <w:t xml:space="preserve"> kā augstāk minējām, ir komplekss risinājums, ko nav iespējams novērtēt, saskaitot uzstādītās bāzes stacijas.</w:t>
            </w:r>
          </w:p>
          <w:p w14:paraId="5180314C" w14:textId="7D67981B" w:rsidR="00DA5894" w:rsidRPr="00BB0B2E" w:rsidRDefault="00DA5894"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Ņemot vērā iepriekš minēto, lūdzam dzēst Nolikuma Tabulā Nr.2 iekļautos vērtēšanas kritērijus no 2.1. – 2.9.</w:t>
            </w:r>
            <w:r w:rsidR="0018326A" w:rsidRPr="00BB0B2E">
              <w:rPr>
                <w:rFonts w:ascii="Myriad Pro" w:hAnsi="Myriad Pro" w:cs="Times New Roman"/>
                <w:color w:val="404040"/>
                <w:sz w:val="22"/>
                <w:lang w:eastAsia="en-US"/>
              </w:rPr>
              <w:t xml:space="preserve"> punktam kā noteiktos tīkla pārklājuma nodrošinājumus pēc aktīvo bāzes staciju veida un skaita, jo tie nenodrošina objektīvu pretendentu piedāvājumu izvērtēšanu.</w:t>
            </w:r>
          </w:p>
          <w:p w14:paraId="0A432C0A" w14:textId="71936A5C" w:rsidR="0018326A" w:rsidRPr="00BB0B2E" w:rsidRDefault="0018326A"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 xml:space="preserve">Kā konkurenci ierobežojošu apstākli _____uzskata Nolikuma 2.pielikuma – tehniskās specifikācijas 4.6. un 4.7. punktos ietvertos pakalpojumus. ______ ieskatā tarifa plāns “Biroja fiksētais tālrunis” un pakalpojumus “Mobilo sakaru iekārtu pārvaldnieks” ir uzskatāmi par pakalpojumiem, kas nodrošina </w:t>
            </w:r>
            <w:proofErr w:type="spellStart"/>
            <w:r w:rsidRPr="00BB0B2E">
              <w:rPr>
                <w:rFonts w:ascii="Myriad Pro" w:hAnsi="Myriad Pro" w:cs="Times New Roman"/>
                <w:color w:val="404040"/>
                <w:sz w:val="22"/>
                <w:lang w:eastAsia="en-US"/>
              </w:rPr>
              <w:t>papildfunkcijas</w:t>
            </w:r>
            <w:proofErr w:type="spellEnd"/>
            <w:r w:rsidRPr="00BB0B2E">
              <w:rPr>
                <w:rFonts w:ascii="Myriad Pro" w:hAnsi="Myriad Pro" w:cs="Times New Roman"/>
                <w:color w:val="404040"/>
                <w:sz w:val="22"/>
                <w:lang w:eastAsia="en-US"/>
              </w:rPr>
              <w:t xml:space="preserve"> </w:t>
            </w:r>
            <w:proofErr w:type="spellStart"/>
            <w:r w:rsidRPr="00BB0B2E">
              <w:rPr>
                <w:rFonts w:ascii="Myriad Pro" w:hAnsi="Myriad Pro" w:cs="Times New Roman"/>
                <w:color w:val="404040"/>
                <w:sz w:val="22"/>
                <w:lang w:eastAsia="en-US"/>
              </w:rPr>
              <w:t>viedierīcēm</w:t>
            </w:r>
            <w:proofErr w:type="spellEnd"/>
            <w:r w:rsidRPr="00BB0B2E">
              <w:rPr>
                <w:rFonts w:ascii="Myriad Pro" w:hAnsi="Myriad Pro" w:cs="Times New Roman"/>
                <w:color w:val="404040"/>
                <w:sz w:val="22"/>
                <w:lang w:eastAsia="en-US"/>
              </w:rPr>
              <w:t xml:space="preserve"> nevis mobilo sakaru pakalpojumiem. Līdz ar to ______ piedāvā sadalīt iepirkuma priekšmetu 3 daļās, papildinot Nolikumu ar punktu 2.1.2.3. ar 3. iepirkuma priekšmeta daļu “Papildpakalpojumi”.</w:t>
            </w:r>
          </w:p>
          <w:p w14:paraId="3F643512" w14:textId="07DD3AA6" w:rsidR="0018326A" w:rsidRPr="00BB0B2E" w:rsidRDefault="0018326A"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Informējam, ka Nolikuma 2. pielikuma – tehniskās specifikācijas 4.6 un 4.7. punktos ietvertos pakalpojumus var aizvietot ar līdzvērtīgiem, kas Pasūtītājam ļautu izmantot vēl papildus citas funkcijas.</w:t>
            </w:r>
          </w:p>
          <w:p w14:paraId="76072CCD" w14:textId="34DE15CD" w:rsidR="0018326A" w:rsidRPr="00BB0B2E" w:rsidRDefault="0018326A"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___</w:t>
            </w:r>
            <w:r w:rsidR="00B3506E" w:rsidRPr="00BB0B2E">
              <w:rPr>
                <w:rFonts w:ascii="Myriad Pro" w:hAnsi="Myriad Pro" w:cs="Times New Roman"/>
                <w:color w:val="404040"/>
                <w:sz w:val="22"/>
                <w:lang w:eastAsia="en-US"/>
              </w:rPr>
              <w:t>_____</w:t>
            </w:r>
            <w:r w:rsidRPr="00BB0B2E">
              <w:rPr>
                <w:rFonts w:ascii="Myriad Pro" w:hAnsi="Myriad Pro" w:cs="Times New Roman"/>
                <w:color w:val="404040"/>
                <w:sz w:val="22"/>
                <w:lang w:eastAsia="en-US"/>
              </w:rPr>
              <w:t>_ vēlas vērst Pasūtītāja uzmanību, un lūdz izņemt no vērtēšanas Noteikumu 4.pielikuma “Saimnieciski visizdevīgākā piedāvājuma noteikšanas kārtība” 1.tabulas 1.8.punktā norādīto pakalpojumu “</w:t>
            </w:r>
            <w:proofErr w:type="spellStart"/>
            <w:r w:rsidRPr="00BB0B2E">
              <w:rPr>
                <w:rFonts w:ascii="Myriad Pro" w:hAnsi="Myriad Pro" w:cs="Times New Roman"/>
                <w:color w:val="404040"/>
                <w:sz w:val="22"/>
                <w:lang w:eastAsia="en-US"/>
              </w:rPr>
              <w:t>Call</w:t>
            </w:r>
            <w:proofErr w:type="spellEnd"/>
            <w:r w:rsidRPr="00BB0B2E">
              <w:rPr>
                <w:rFonts w:ascii="Myriad Pro" w:hAnsi="Myriad Pro" w:cs="Times New Roman"/>
                <w:color w:val="404040"/>
                <w:sz w:val="22"/>
                <w:lang w:eastAsia="en-US"/>
              </w:rPr>
              <w:t xml:space="preserve"> </w:t>
            </w:r>
            <w:proofErr w:type="spellStart"/>
            <w:r w:rsidRPr="00BB0B2E">
              <w:rPr>
                <w:rFonts w:ascii="Myriad Pro" w:hAnsi="Myriad Pro" w:cs="Times New Roman"/>
                <w:color w:val="404040"/>
                <w:sz w:val="22"/>
                <w:lang w:eastAsia="en-US"/>
              </w:rPr>
              <w:t>back</w:t>
            </w:r>
            <w:proofErr w:type="spellEnd"/>
            <w:r w:rsidRPr="00BB0B2E">
              <w:rPr>
                <w:rFonts w:ascii="Myriad Pro" w:hAnsi="Myriad Pro" w:cs="Times New Roman"/>
                <w:color w:val="404040"/>
                <w:sz w:val="22"/>
                <w:lang w:eastAsia="en-US"/>
              </w:rPr>
              <w:t xml:space="preserve"> pakalpojums”. Nolikuma 2. pielikuma – tehniskās specifikācijas 5.6. punktā ir </w:t>
            </w:r>
            <w:r w:rsidRPr="00BB0B2E">
              <w:rPr>
                <w:rFonts w:ascii="Myriad Pro" w:hAnsi="Myriad Pro" w:cs="Times New Roman"/>
                <w:color w:val="404040"/>
                <w:sz w:val="22"/>
                <w:lang w:eastAsia="en-US"/>
              </w:rPr>
              <w:lastRenderedPageBreak/>
              <w:t>norādīts, ka pakalpojums “</w:t>
            </w:r>
            <w:proofErr w:type="spellStart"/>
            <w:r w:rsidRPr="00BB0B2E">
              <w:rPr>
                <w:rFonts w:ascii="Myriad Pro" w:hAnsi="Myriad Pro" w:cs="Times New Roman"/>
                <w:color w:val="404040"/>
                <w:sz w:val="22"/>
                <w:lang w:eastAsia="en-US"/>
              </w:rPr>
              <w:t>Call</w:t>
            </w:r>
            <w:proofErr w:type="spellEnd"/>
            <w:r w:rsidRPr="00BB0B2E">
              <w:rPr>
                <w:rFonts w:ascii="Myriad Pro" w:hAnsi="Myriad Pro" w:cs="Times New Roman"/>
                <w:color w:val="404040"/>
                <w:sz w:val="22"/>
                <w:lang w:eastAsia="en-US"/>
              </w:rPr>
              <w:t xml:space="preserve"> </w:t>
            </w:r>
            <w:proofErr w:type="spellStart"/>
            <w:r w:rsidRPr="00BB0B2E">
              <w:rPr>
                <w:rFonts w:ascii="Myriad Pro" w:hAnsi="Myriad Pro" w:cs="Times New Roman"/>
                <w:color w:val="404040"/>
                <w:sz w:val="22"/>
                <w:lang w:eastAsia="en-US"/>
              </w:rPr>
              <w:t>back</w:t>
            </w:r>
            <w:proofErr w:type="spellEnd"/>
            <w:r w:rsidRPr="00BB0B2E">
              <w:rPr>
                <w:rFonts w:ascii="Myriad Pro" w:hAnsi="Myriad Pro" w:cs="Times New Roman"/>
                <w:color w:val="404040"/>
                <w:sz w:val="22"/>
                <w:lang w:eastAsia="en-US"/>
              </w:rPr>
              <w:t>” nav obligāts. Līdz ar to, ir jāvērtē mobilo sakaru pakalpojumi, kas ir pieprasīti kā obligāti un jāpieņem zināšanai, ka tiek piedāvāti arī citi pakalpojumi, kas nav iekļauti obligātajās prasībās.</w:t>
            </w:r>
          </w:p>
          <w:p w14:paraId="024613FE" w14:textId="3F3D6068" w:rsidR="0018326A" w:rsidRPr="00BB0B2E" w:rsidRDefault="00474536"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Ņemot vērā iepriekš minēto, lūdzam dzēst Nolikuma Tabulas Nr.1 1.8.punktā iekļauto vērtēšanas kritēriju, Tabulā Nr.2 iekļautos vērtēšanas kritērijus no 2.1. – 2.9.</w:t>
            </w:r>
            <w:r w:rsidR="0067448F" w:rsidRPr="00BB0B2E">
              <w:rPr>
                <w:rFonts w:ascii="Myriad Pro" w:hAnsi="Myriad Pro" w:cs="Times New Roman"/>
                <w:color w:val="404040"/>
                <w:sz w:val="22"/>
                <w:lang w:eastAsia="en-US"/>
              </w:rPr>
              <w:t>punktam, kā noteiktos tīkla pārklājuma nod</w:t>
            </w:r>
            <w:r w:rsidR="00B3506E" w:rsidRPr="00BB0B2E">
              <w:rPr>
                <w:rFonts w:ascii="Myriad Pro" w:hAnsi="Myriad Pro" w:cs="Times New Roman"/>
                <w:color w:val="404040"/>
                <w:sz w:val="22"/>
                <w:lang w:eastAsia="en-US"/>
              </w:rPr>
              <w:t>ro</w:t>
            </w:r>
            <w:r w:rsidR="0067448F" w:rsidRPr="00BB0B2E">
              <w:rPr>
                <w:rFonts w:ascii="Myriad Pro" w:hAnsi="Myriad Pro" w:cs="Times New Roman"/>
                <w:color w:val="404040"/>
                <w:sz w:val="22"/>
                <w:lang w:eastAsia="en-US"/>
              </w:rPr>
              <w:t xml:space="preserve">šinājumus pēc aktīvo bāzes staciju veida un skaita, jo tie nenodrošina objektīvu pretendentu piedāvājumu izvērtēšanu, kā arī papildināt Nolikumu ar 2.1.2.3. punktu ar 3.iepirkuma priekšmeta daļu “Papildpakalpojumi”. </w:t>
            </w:r>
          </w:p>
          <w:p w14:paraId="430C3B9F" w14:textId="62FC3F5B" w:rsidR="0067448F" w:rsidRPr="00BB0B2E" w:rsidRDefault="0067448F" w:rsidP="00DD0336">
            <w:pPr>
              <w:pStyle w:val="NormalWeb"/>
              <w:ind w:left="67"/>
              <w:rPr>
                <w:rFonts w:ascii="Myriad Pro" w:hAnsi="Myriad Pro" w:cs="Times New Roman"/>
                <w:color w:val="404040"/>
                <w:sz w:val="22"/>
                <w:lang w:eastAsia="en-US"/>
              </w:rPr>
            </w:pPr>
            <w:r w:rsidRPr="00BB0B2E">
              <w:rPr>
                <w:rFonts w:ascii="Myriad Pro" w:hAnsi="Myriad Pro" w:cs="Times New Roman"/>
                <w:color w:val="404040"/>
                <w:sz w:val="22"/>
                <w:lang w:eastAsia="en-US"/>
              </w:rPr>
              <w:t>Kā alternatīvu piedāvājam kritērijus saglabāt, bet samazināt katram punktam maksimālo punktu skaitu no 10/12 uz 1, jo šobrīd noteiktais punktu skaits šajā kritērijā principā izslēdz citiem dalībniekiem iespēju uzvarēt iepirkumā.</w:t>
            </w:r>
          </w:p>
          <w:p w14:paraId="2EB671B0" w14:textId="0F3FBB6E" w:rsidR="00D94A13" w:rsidRPr="00BB0B2E" w:rsidRDefault="00D94A13" w:rsidP="00D94A13">
            <w:pPr>
              <w:pStyle w:val="NormalWeb"/>
              <w:ind w:left="720"/>
              <w:rPr>
                <w:rFonts w:ascii="Myriad Pro" w:hAnsi="Myriad Pro" w:cs="Times New Roman"/>
                <w:color w:val="404040"/>
                <w:sz w:val="22"/>
                <w:lang w:eastAsia="en-US"/>
              </w:rPr>
            </w:pPr>
          </w:p>
        </w:tc>
        <w:tc>
          <w:tcPr>
            <w:tcW w:w="5670" w:type="dxa"/>
          </w:tcPr>
          <w:p w14:paraId="348F05AE" w14:textId="52917242" w:rsidR="006569C4" w:rsidRPr="006569C4" w:rsidRDefault="006569C4" w:rsidP="006569C4">
            <w:pPr>
              <w:spacing w:after="120"/>
              <w:ind w:firstLine="567"/>
              <w:rPr>
                <w:rFonts w:ascii="Myriad Pro" w:hAnsi="Myriad Pro"/>
                <w:color w:val="404040"/>
                <w:sz w:val="22"/>
              </w:rPr>
            </w:pPr>
            <w:r w:rsidRPr="006569C4">
              <w:rPr>
                <w:rFonts w:ascii="Myriad Pro" w:hAnsi="Myriad Pro"/>
                <w:color w:val="404040"/>
                <w:sz w:val="22"/>
              </w:rPr>
              <w:lastRenderedPageBreak/>
              <w:t xml:space="preserve">RB Rail AS atklāta konkursa “Mobilo sakaru un </w:t>
            </w:r>
            <w:proofErr w:type="spellStart"/>
            <w:r w:rsidRPr="006569C4">
              <w:rPr>
                <w:rFonts w:ascii="Myriad Pro" w:hAnsi="Myriad Pro"/>
                <w:color w:val="404040"/>
                <w:sz w:val="22"/>
              </w:rPr>
              <w:t>viedierīču</w:t>
            </w:r>
            <w:proofErr w:type="spellEnd"/>
            <w:r w:rsidRPr="006569C4">
              <w:rPr>
                <w:rFonts w:ascii="Myriad Pro" w:hAnsi="Myriad Pro"/>
                <w:color w:val="404040"/>
                <w:sz w:val="22"/>
              </w:rPr>
              <w:t xml:space="preserve"> nomas pakalpojumi”, iepirkuma identifikācijas Nr. RBR 2018/13 (turpmāk – Konkurss) organizēšanai noteiktā iepirkuma komisija (turpmāk – Iepirkuma komisija) informē, ka 2018.gada 29.jūnijā ir saņēmusi ________ 2018.gada 29.jūnija vēstuli Nr._______ (turpmāk – Vēstule) ar iebildumiem par Konkursa nolikumā ietvertajām prasībām.</w:t>
            </w:r>
          </w:p>
          <w:p w14:paraId="6DD9B8E1" w14:textId="5286DAF5" w:rsidR="006569C4" w:rsidRPr="006569C4" w:rsidRDefault="006569C4" w:rsidP="006569C4">
            <w:pPr>
              <w:spacing w:after="120"/>
              <w:ind w:firstLine="567"/>
              <w:rPr>
                <w:rFonts w:ascii="Myriad Pro" w:hAnsi="Myriad Pro"/>
                <w:color w:val="404040"/>
                <w:sz w:val="22"/>
              </w:rPr>
            </w:pPr>
            <w:r w:rsidRPr="006569C4">
              <w:rPr>
                <w:rFonts w:ascii="Myriad Pro" w:hAnsi="Myriad Pro"/>
                <w:color w:val="404040"/>
                <w:sz w:val="22"/>
              </w:rPr>
              <w:t>Saskaņā ar Vēstulē norādīto _________ lūdz iepirkuma komisiju dzēst Konkursa nolikuma 4.pielikumā (Saimnieciski visizdevīgākā piedāvājuma noteikšanas kārtība) ietvertajā tabulā Nr.2 ietvertos vērtēšanas kritērijus Nr.2.1. – 2.9, jo ________ ieskatā tīkla pārklājuma mērīšana pēc aktīvo bāzes staciju skaita nenodrošina objektīvu piedāvājumu salīdzināšanu un nenodrošina objektīvu pretendentu piedāvājumu izvērtēšanu, vai saglabāt iepriekš minētos kritērijus, samazinot katram kritērijam maksimāli piešķiramo punktu skaitu no esošajiem 10/12 uz 1.</w:t>
            </w:r>
          </w:p>
          <w:p w14:paraId="54967351" w14:textId="661F8C11" w:rsidR="006569C4" w:rsidRPr="006569C4" w:rsidRDefault="006569C4" w:rsidP="006569C4">
            <w:pPr>
              <w:spacing w:after="120"/>
              <w:ind w:firstLine="567"/>
              <w:rPr>
                <w:rFonts w:ascii="Myriad Pro" w:hAnsi="Myriad Pro"/>
                <w:color w:val="404040"/>
                <w:sz w:val="22"/>
              </w:rPr>
            </w:pPr>
            <w:r w:rsidRPr="006569C4">
              <w:rPr>
                <w:rFonts w:ascii="Myriad Pro" w:hAnsi="Myriad Pro"/>
                <w:color w:val="404040"/>
                <w:sz w:val="22"/>
              </w:rPr>
              <w:t xml:space="preserve">Iepirkuma komisija paskaidro, ka saskaņā ar Publisko iepirkumu likuma tiesību normām pasūtītāja prerogatīva ir noteikt saimnieciski visizdevīgākā piedāvājuma vērtēšanas kritērijus un piešķiramo punktu skaitu katram kritērijam, ņemot vērā pasūtītāja vajadzības un apsvērumus attiecībā uz iepirkuma priekšmetu un tā raksturlielumiem. Iepirkuma komisija paskaidro, ka, ņemot vērā pasūtītāja prasības, kā vienu no kritērijiem pakalpojuma kvalitātes novērtējumam izvēlējusies ņemt vērā aktīvo bāzes staciju skaitu sadalījumā par izmantotajām radio piekļuves tehnoloģijām, šādi ņemot vērā arī katra sakaru operatoru izvēlēto tehnoloģisko risinājumu, jo bāzes stacijas pēc būtības ir mobilo sakaru tīkla infrastruktūras veidojošais pamatelements, kas nenoliedzami ietekmē sakaru tīkla pārklājumu un veiktspējas rādītājus. Iepirkuma komisija piekrīt, ka sakaru tīkla darbības rādītājus papildus var ietekmēt arī citi faktori, bet kas vairāk vai mazāk ir limitēti, taču jebkurā gadījumā pastāv loģiska sakarība starp bāzes staciju skaitu un tīkla darbības rādītājiem, lai pēc iespējas aptvertu plašāku ģeogrāfisko areālu, t. sk. nodrošinātu optimālus sakarus </w:t>
            </w:r>
            <w:r w:rsidRPr="006569C4">
              <w:rPr>
                <w:rFonts w:ascii="Myriad Pro" w:hAnsi="Myriad Pro"/>
                <w:color w:val="404040"/>
                <w:sz w:val="22"/>
              </w:rPr>
              <w:lastRenderedPageBreak/>
              <w:t>vietās, kur pastāv dabiski radiosignāla  slāpējoši un traucējoši faktori, un klientu veiktās darbības, izmantojot mobilo sakaru pakalpojumus, nepārslogotu tīkla darbību. Iepirkuma komisija, izstrādājot vērtēšanas metodoloģiju saimnieciski visizdevīgākā piedāvājuma noteikšanai, ir ņēmusi vērā apstākli, ka Latvijā ir trīs mobilo sakaru operatori nevis divi, kā _________ akcentē Vēstulē, un kur katram ir atšķirīgs mobilo sakaru tīkla pārklājums. Ņemot vērā, ka bāzes staciju skaitu ir iespējams objektīvi novērtēt un šādu vērtēšanas metodoloģiju plaši izmanto arī citi pasūtītāji, kuriem kritiski svarīgs ir tīkla pārklājums, un šī metodoloģija līdz šim ir atzīta kā pieņemama arī no mobilo sakaru operatoru, t. sk. _______, puses, par ko liecina publiski pieejamā informācija, arī RB Rail AS ir izvēlējusies izmantot šo kritēriju kā vienu no mobilo sakaru tīkla  darbības raksturojošiem rādītājiem. Iepirkuma komisija nevar komentēt _________ Vēstulē norādīto pasūtītāju apsvērumus, piemērojot savos iepirkumos atšķirīgu vērtēšanas metodoloģiju, nosakot saimnieciski visizdevīgāko piedāvājumu, jo katram pasūtītājam tomēr ir atšķirīgas vajadzības un prasības iepirkuma priekšmeta izpildei. Papildus norādām, ka arī no pašu mobilo sakaru operatoru vai elektronisko sakaru pārstāvošo kompetento institūciju puses publisko iepirkumu sektoram līdz šim nav piedāvātas citas vadlīnijas, kuras izmantot publisko iepirkumu praksē.</w:t>
            </w:r>
          </w:p>
          <w:p w14:paraId="2AD2D3B4" w14:textId="77777777" w:rsidR="006569C4" w:rsidRPr="006569C4" w:rsidRDefault="006569C4" w:rsidP="006569C4">
            <w:pPr>
              <w:spacing w:after="120"/>
              <w:ind w:firstLine="567"/>
              <w:rPr>
                <w:rFonts w:ascii="Myriad Pro" w:hAnsi="Myriad Pro"/>
                <w:color w:val="404040"/>
                <w:sz w:val="22"/>
              </w:rPr>
            </w:pPr>
            <w:r w:rsidRPr="006569C4">
              <w:rPr>
                <w:rFonts w:ascii="Myriad Pro" w:hAnsi="Myriad Pro"/>
                <w:color w:val="404040"/>
                <w:sz w:val="22"/>
              </w:rPr>
              <w:t xml:space="preserve">Iepirkuma komisija informē, ka ir iepazinusies arī ar Sabiedrisko pakalpojumu regulēšanas komisijas Elektronisko sakaru pakalpojumu kvalitātes pārskatu par 2017. gadu, taču arī šajā pārskatā iekļautie mobilo sakaru tīklu novērtējuma rādītāji nesniedz izsmeļošu un pilnīgu informāciju par katra mobilo sakaru operatora tīkla pārklājumu un veiktspējas rādītājiem visā Latvijas Republikas teritorijā, it sevišķi ārpus apdzīvotām vietām, jo veiktie mērījumi aptver tikai konkrēti izvēlētus punktus. </w:t>
            </w:r>
          </w:p>
          <w:p w14:paraId="75105BBB" w14:textId="0AF6A4B9" w:rsidR="006569C4" w:rsidRPr="006569C4" w:rsidRDefault="006569C4" w:rsidP="006569C4">
            <w:pPr>
              <w:spacing w:after="120"/>
              <w:ind w:firstLine="567"/>
              <w:rPr>
                <w:rFonts w:ascii="Myriad Pro" w:hAnsi="Myriad Pro"/>
                <w:color w:val="404040"/>
                <w:sz w:val="22"/>
              </w:rPr>
            </w:pPr>
            <w:r w:rsidRPr="006569C4">
              <w:rPr>
                <w:rFonts w:ascii="Myriad Pro" w:hAnsi="Myriad Pro"/>
                <w:color w:val="404040"/>
                <w:sz w:val="22"/>
              </w:rPr>
              <w:t>Pasūtītājam nav izprotams _______ piedāvājums neizslēgt nolikuma 4.pielikuma 2.tabulā minētos vērtēšanas kritērijus, bet kā alternatīvu piedāvāt samazināt piešķiramo punktu īpatsvaru. No tā secināms, ka _______ pēc būtības apstrīd nevis pašus vērtēšanas kritērijus, bet būtībā vēlas samazināt kritērijiem noteikto piešķiramo punktu skaitu, jo, iespējams, kādā no vērtēšanas kritērijiem nevar saņemt maksimāli iespējamo punktu skaitu, kas pēc būtības nav diskriminējošs apstāklis. Iepirkuma komisija atgādina, ka vērtēšanas kritēriju un vērtēšanas metodoloģijas noteikšana ir pasūtītāja prerogatīva. Ņemot vērā iepriekš minētos argumentus, iepirkuma komisija nesaskata objektīvu pamatojumu grozījumu veikšanai Konkursa nolikuma 4. pielikumā ietvertajā tabulā Nr.2.</w:t>
            </w:r>
          </w:p>
          <w:p w14:paraId="0F9C0FBF" w14:textId="0EF7E82F" w:rsidR="006569C4" w:rsidRPr="006569C4" w:rsidRDefault="006569C4" w:rsidP="006569C4">
            <w:pPr>
              <w:spacing w:after="120"/>
              <w:ind w:firstLine="567"/>
              <w:rPr>
                <w:rFonts w:ascii="Myriad Pro" w:hAnsi="Myriad Pro"/>
                <w:color w:val="404040"/>
                <w:sz w:val="22"/>
              </w:rPr>
            </w:pPr>
            <w:r w:rsidRPr="006569C4">
              <w:rPr>
                <w:rFonts w:ascii="Myriad Pro" w:hAnsi="Myriad Pro"/>
                <w:color w:val="404040"/>
                <w:sz w:val="22"/>
              </w:rPr>
              <w:lastRenderedPageBreak/>
              <w:t xml:space="preserve">______ savā Vēstulē norāda, ka Konkursa nolikuma 2.pielikumā (Tehniskās specifikācijas) 4.6. un 4.7.punktos ietvertās prasības pakalpojumiem ir uzskatāmas par papildpakalpojumiem, kas nodrošina </w:t>
            </w:r>
            <w:proofErr w:type="spellStart"/>
            <w:r w:rsidRPr="006569C4">
              <w:rPr>
                <w:rFonts w:ascii="Myriad Pro" w:hAnsi="Myriad Pro"/>
                <w:color w:val="404040"/>
                <w:sz w:val="22"/>
              </w:rPr>
              <w:t>papildfunkcijas</w:t>
            </w:r>
            <w:proofErr w:type="spellEnd"/>
            <w:r w:rsidRPr="006569C4">
              <w:rPr>
                <w:rFonts w:ascii="Myriad Pro" w:hAnsi="Myriad Pro"/>
                <w:color w:val="404040"/>
                <w:sz w:val="22"/>
              </w:rPr>
              <w:t xml:space="preserve"> </w:t>
            </w:r>
            <w:proofErr w:type="spellStart"/>
            <w:r w:rsidRPr="006569C4">
              <w:rPr>
                <w:rFonts w:ascii="Myriad Pro" w:hAnsi="Myriad Pro"/>
                <w:color w:val="404040"/>
                <w:sz w:val="22"/>
              </w:rPr>
              <w:t>viedierīcēm</w:t>
            </w:r>
            <w:proofErr w:type="spellEnd"/>
            <w:r w:rsidRPr="006569C4">
              <w:rPr>
                <w:rFonts w:ascii="Myriad Pro" w:hAnsi="Myriad Pro"/>
                <w:color w:val="404040"/>
                <w:sz w:val="22"/>
              </w:rPr>
              <w:t xml:space="preserve"> nevis mobilo sakaru pakalpojumiem, un būtu izdalāmas atsevišķā iepirkuma priekšmeta daļā. </w:t>
            </w:r>
          </w:p>
          <w:p w14:paraId="7114BAC5" w14:textId="5B5DA4BE" w:rsidR="006569C4" w:rsidRPr="006569C4" w:rsidRDefault="006569C4" w:rsidP="006569C4">
            <w:pPr>
              <w:spacing w:after="120"/>
              <w:ind w:firstLine="567"/>
              <w:rPr>
                <w:rFonts w:ascii="Myriad Pro" w:hAnsi="Myriad Pro"/>
                <w:color w:val="404040"/>
                <w:sz w:val="22"/>
              </w:rPr>
            </w:pPr>
            <w:r w:rsidRPr="006569C4">
              <w:rPr>
                <w:rFonts w:ascii="Myriad Pro" w:hAnsi="Myriad Pro"/>
                <w:color w:val="404040"/>
                <w:sz w:val="22"/>
              </w:rPr>
              <w:t xml:space="preserve">Iepirkuma komisija neizprot _______ Vēstulē pausto viedokli, ka Tehniskajās specifikācijās minētais pakalpojums “Biroja fiksētais tālrunis” ir uzskatāms par papildpakalpojumu, kas nodrošina </w:t>
            </w:r>
            <w:proofErr w:type="spellStart"/>
            <w:r w:rsidRPr="006569C4">
              <w:rPr>
                <w:rFonts w:ascii="Myriad Pro" w:hAnsi="Myriad Pro"/>
                <w:color w:val="404040"/>
                <w:sz w:val="22"/>
              </w:rPr>
              <w:t>viedierīču</w:t>
            </w:r>
            <w:proofErr w:type="spellEnd"/>
            <w:r w:rsidRPr="006569C4">
              <w:rPr>
                <w:rFonts w:ascii="Myriad Pro" w:hAnsi="Myriad Pro"/>
                <w:color w:val="404040"/>
                <w:sz w:val="22"/>
              </w:rPr>
              <w:t xml:space="preserve"> pārvaldību. Pakalpojums “Biroja fiksētais tālrunis” pēc būtības ir pamatpakalpojums, jo biroja fiksētais tālrunis darbojas mobilo sakaru tīklā tāpat kā jebkura cita mobilo sakaru ierīce un nekādā veidā nav saistīts ar </w:t>
            </w:r>
            <w:proofErr w:type="spellStart"/>
            <w:r w:rsidRPr="006569C4">
              <w:rPr>
                <w:rFonts w:ascii="Myriad Pro" w:hAnsi="Myriad Pro"/>
                <w:color w:val="404040"/>
                <w:sz w:val="22"/>
              </w:rPr>
              <w:t>papildfunkciju</w:t>
            </w:r>
            <w:proofErr w:type="spellEnd"/>
            <w:r w:rsidRPr="006569C4">
              <w:rPr>
                <w:rFonts w:ascii="Myriad Pro" w:hAnsi="Myriad Pro"/>
                <w:color w:val="404040"/>
                <w:sz w:val="22"/>
              </w:rPr>
              <w:t xml:space="preserve"> nodrošināšanu </w:t>
            </w:r>
            <w:proofErr w:type="spellStart"/>
            <w:r w:rsidRPr="006569C4">
              <w:rPr>
                <w:rFonts w:ascii="Myriad Pro" w:hAnsi="Myriad Pro"/>
                <w:color w:val="404040"/>
                <w:sz w:val="22"/>
              </w:rPr>
              <w:t>viedierīcēm</w:t>
            </w:r>
            <w:proofErr w:type="spellEnd"/>
            <w:r w:rsidRPr="006569C4">
              <w:rPr>
                <w:rFonts w:ascii="Myriad Pro" w:hAnsi="Myriad Pro"/>
                <w:color w:val="404040"/>
                <w:sz w:val="22"/>
              </w:rPr>
              <w:t xml:space="preserve">. Attiecībā uz pakalpojumu “Mobilo sakaru iekārtu pārvaldnieks” iepirkuma komisija paskaidro, ka šis pakalpojums ir objektīvi nepieciešams un šo pakalpojumu praktiski var piedāvāt jebkurš tirgus dalībnieks, kas nodrošina mobilo sakaru pakalpojumus, un tas nerada ekskluzīvas priekšrocības kādam no tirgus dalībniekiem. Kā rāda telekomunikāciju industrijas attīstības tendences, mobilo sakaru operatoru darbība vairs nav tikai pamatpakalpojumu (balss pārraides pakalpojumi, elektronisko ziņu pārraide un interneta datu pārraide) nodrošināšana, bet dažādu papildpakalpojumu (piemēram, TV, videonovērošanas sistēmas, darba laika uzskaites sistēmas u. c.) nodrošināšana, kas ietver dažādus mobilo sakaru un mobilo iekārtu risinājumus.  Tas, ka kāda tirgus dalībnieka piedāvāto standartpakalpojumu klāstā nav ietverts kāds no pakalpojumiem, kādu pieprasa pasūtītājs, nenozīmē, ka šī prasība pati par sevi ir diskriminējoša.  Tirgus dalībnieku pienākums ir sekot līdzi tirgus pieprasījuma izmaiņām un piedāvāt aizvien jaunus pakalpojumus atbilstoši tirgus pieprasījumam. Papildus norādām, ka atbilstoši Publisko iepirkumu likuma tiesību normām Konkursa ietvaros nav iespējams veikt tādus grozījumus, kas paredz jaunas iepirkuma priekšmeta daļas izveidi. Ņemot vērā šos apstākļus, iepirkuma komisija informē, ka atstāj negrozītas izvirzītas prasības nolikuma 2.pielikumā (Tehniskās specifikācijas). </w:t>
            </w:r>
          </w:p>
          <w:p w14:paraId="434E1419" w14:textId="1F8C6C7C" w:rsidR="006569C4" w:rsidRPr="006569C4" w:rsidRDefault="006569C4" w:rsidP="006569C4">
            <w:pPr>
              <w:spacing w:after="120"/>
              <w:ind w:firstLine="567"/>
              <w:rPr>
                <w:rFonts w:ascii="Myriad Pro" w:hAnsi="Myriad Pro"/>
                <w:color w:val="404040"/>
                <w:sz w:val="22"/>
              </w:rPr>
            </w:pPr>
            <w:r w:rsidRPr="006569C4">
              <w:rPr>
                <w:rFonts w:ascii="Myriad Pro" w:hAnsi="Myriad Pro"/>
                <w:color w:val="404040"/>
                <w:sz w:val="22"/>
              </w:rPr>
              <w:t>______ savā vēstulē norādījis, ka Tehnisko specifikāciju 4.6. un 4.7.punktos ietvertos pakalpojumus var aizvietot ar līdzvērtīgiem, kas ļautu pasūtītājam izmantot vēl papildus citas funkcijas. RB Rail AS informē, ka _______ ir tiesības piedāvāt līdzvērtīgus pakalpojumus, kas nodrošina specifikācijās minēto prasību izpildi, kā arī aicina būt inovatīvam, piedāvājot aizvien jaunus risinājumus, kas būtu nepieciešami pasūtītājiem.</w:t>
            </w:r>
          </w:p>
          <w:p w14:paraId="2565D8BA" w14:textId="2A560B83" w:rsidR="006569C4" w:rsidRPr="006569C4" w:rsidRDefault="006569C4" w:rsidP="006569C4">
            <w:pPr>
              <w:spacing w:after="120"/>
              <w:ind w:firstLine="567"/>
              <w:rPr>
                <w:rFonts w:ascii="Myriad Pro" w:hAnsi="Myriad Pro"/>
                <w:color w:val="404040"/>
                <w:sz w:val="22"/>
              </w:rPr>
            </w:pPr>
            <w:r w:rsidRPr="006569C4">
              <w:rPr>
                <w:rFonts w:ascii="Myriad Pro" w:hAnsi="Myriad Pro"/>
                <w:color w:val="404040"/>
                <w:sz w:val="22"/>
              </w:rPr>
              <w:t xml:space="preserve">SIA ________ Vēstulē lūdz pasūtītāju no nolikuma 4.pielikuma (Saimnieciski visizdevīgākā piedāvājuma </w:t>
            </w:r>
            <w:r w:rsidRPr="006569C4">
              <w:rPr>
                <w:rFonts w:ascii="Myriad Pro" w:hAnsi="Myriad Pro"/>
                <w:color w:val="404040"/>
                <w:sz w:val="22"/>
              </w:rPr>
              <w:lastRenderedPageBreak/>
              <w:t>noteikšanas kārtība) 1.tabulas izņemt vērtēšanas kritēriju “</w:t>
            </w:r>
            <w:proofErr w:type="spellStart"/>
            <w:r w:rsidRPr="006569C4">
              <w:rPr>
                <w:rFonts w:ascii="Myriad Pro" w:hAnsi="Myriad Pro"/>
                <w:color w:val="404040"/>
                <w:sz w:val="22"/>
              </w:rPr>
              <w:t>Call</w:t>
            </w:r>
            <w:proofErr w:type="spellEnd"/>
            <w:r w:rsidRPr="006569C4">
              <w:rPr>
                <w:rFonts w:ascii="Myriad Pro" w:hAnsi="Myriad Pro"/>
                <w:color w:val="404040"/>
                <w:sz w:val="22"/>
              </w:rPr>
              <w:t xml:space="preserve"> </w:t>
            </w:r>
            <w:proofErr w:type="spellStart"/>
            <w:r w:rsidRPr="006569C4">
              <w:rPr>
                <w:rFonts w:ascii="Myriad Pro" w:hAnsi="Myriad Pro"/>
                <w:color w:val="404040"/>
                <w:sz w:val="22"/>
              </w:rPr>
              <w:t>back</w:t>
            </w:r>
            <w:proofErr w:type="spellEnd"/>
            <w:r w:rsidRPr="006569C4">
              <w:rPr>
                <w:rFonts w:ascii="Myriad Pro" w:hAnsi="Myriad Pro"/>
                <w:color w:val="404040"/>
                <w:sz w:val="22"/>
              </w:rPr>
              <w:t>” funkcija, jo šī funkcija nav ietverta Tehniskajās specifikācijās kā obligāts pakalpojums. Iepirkuma komisija paskaidro, ka funkcija “</w:t>
            </w:r>
            <w:proofErr w:type="spellStart"/>
            <w:r w:rsidRPr="006569C4">
              <w:rPr>
                <w:rFonts w:ascii="Myriad Pro" w:hAnsi="Myriad Pro"/>
                <w:color w:val="404040"/>
                <w:sz w:val="22"/>
              </w:rPr>
              <w:t>Call</w:t>
            </w:r>
            <w:proofErr w:type="spellEnd"/>
            <w:r w:rsidRPr="006569C4">
              <w:rPr>
                <w:rFonts w:ascii="Myriad Pro" w:hAnsi="Myriad Pro"/>
                <w:color w:val="404040"/>
                <w:sz w:val="22"/>
              </w:rPr>
              <w:t xml:space="preserve"> </w:t>
            </w:r>
            <w:proofErr w:type="spellStart"/>
            <w:r w:rsidRPr="006569C4">
              <w:rPr>
                <w:rFonts w:ascii="Myriad Pro" w:hAnsi="Myriad Pro"/>
                <w:color w:val="404040"/>
                <w:sz w:val="22"/>
              </w:rPr>
              <w:t>back</w:t>
            </w:r>
            <w:proofErr w:type="spellEnd"/>
            <w:r w:rsidRPr="006569C4">
              <w:rPr>
                <w:rFonts w:ascii="Myriad Pro" w:hAnsi="Myriad Pro"/>
                <w:color w:val="404040"/>
                <w:sz w:val="22"/>
              </w:rPr>
              <w:t xml:space="preserve">” jeb </w:t>
            </w:r>
            <w:proofErr w:type="spellStart"/>
            <w:r w:rsidRPr="006569C4">
              <w:rPr>
                <w:rFonts w:ascii="Myriad Pro" w:hAnsi="Myriad Pro"/>
                <w:color w:val="404040"/>
                <w:sz w:val="22"/>
              </w:rPr>
              <w:t>atzvans</w:t>
            </w:r>
            <w:proofErr w:type="spellEnd"/>
            <w:r w:rsidRPr="006569C4">
              <w:rPr>
                <w:rFonts w:ascii="Myriad Pro" w:hAnsi="Myriad Pro"/>
                <w:color w:val="404040"/>
                <w:sz w:val="22"/>
              </w:rPr>
              <w:t xml:space="preserve"> nodrošina iespēju būtiski samazināt  izmaksas par veiktajiem zvaniem, atrodoties ārvalstīs. Šādas funkcijas nodrošināšana ir uzskatāma par objektīvu vērtēšanas kritēriju.  Lai iepirkuma komisija varētu piešķirt punktus par šādas funkcijas piedāvājumu no pretendenta puses, nav obligāta prasība Tehniskajās specifikācijās šīs funkcijas piedāvājumu paredzēt kā obligātu prasību. Šādā gadījumā visi pretendenti, kas nepiedāvā šādu funkciju, automātiski nekvalificētos Tehniskajās specifikācijās minētajām prasībām. Ņemot vērā iepriekš minētos argumentus, iepirkuma komisija nesaskata pamatojumu šī vērtēšanas kritērija izslēgšanai.</w:t>
            </w:r>
          </w:p>
          <w:p w14:paraId="2D8756E3" w14:textId="77777777" w:rsidR="00E3727B" w:rsidRPr="006569C4" w:rsidRDefault="00E3727B" w:rsidP="008A5730">
            <w:pPr>
              <w:rPr>
                <w:rFonts w:ascii="Myriad Pro" w:hAnsi="Myriad Pro"/>
                <w:color w:val="404040"/>
                <w:sz w:val="22"/>
              </w:rPr>
            </w:pPr>
          </w:p>
          <w:p w14:paraId="5F653AC9" w14:textId="77777777" w:rsidR="009B02CE" w:rsidRPr="006569C4" w:rsidRDefault="009B02CE" w:rsidP="008A5730">
            <w:pPr>
              <w:rPr>
                <w:rFonts w:ascii="Myriad Pro" w:hAnsi="Myriad Pro"/>
                <w:color w:val="404040"/>
                <w:sz w:val="22"/>
              </w:rPr>
            </w:pPr>
          </w:p>
          <w:p w14:paraId="44BDD662" w14:textId="77777777" w:rsidR="009B02CE" w:rsidRPr="006569C4" w:rsidRDefault="009B02CE" w:rsidP="008A5730">
            <w:pPr>
              <w:rPr>
                <w:rFonts w:ascii="Myriad Pro" w:hAnsi="Myriad Pro"/>
                <w:color w:val="404040"/>
                <w:sz w:val="22"/>
              </w:rPr>
            </w:pPr>
          </w:p>
          <w:p w14:paraId="74534297" w14:textId="498D1726" w:rsidR="009B02CE" w:rsidRPr="006569C4" w:rsidRDefault="009B02CE" w:rsidP="00784D1F">
            <w:pPr>
              <w:pStyle w:val="Heading4"/>
              <w:numPr>
                <w:ilvl w:val="0"/>
                <w:numId w:val="0"/>
              </w:numPr>
              <w:ind w:left="851"/>
              <w:outlineLvl w:val="3"/>
              <w:rPr>
                <w:rFonts w:ascii="Myriad Pro" w:eastAsia="Helvetica" w:hAnsi="Myriad Pro"/>
                <w:noProof w:val="0"/>
                <w:color w:val="404040"/>
                <w:sz w:val="22"/>
                <w:szCs w:val="22"/>
              </w:rPr>
            </w:pPr>
          </w:p>
        </w:tc>
      </w:tr>
      <w:bookmarkEnd w:id="1"/>
    </w:tbl>
    <w:p w14:paraId="14D2C35E" w14:textId="2B29FEF1" w:rsidR="00BB6767" w:rsidRPr="00BB0B2E" w:rsidRDefault="00BB6767">
      <w:pPr>
        <w:rPr>
          <w:rFonts w:ascii="Myriad Pro" w:hAnsi="Myriad Pro"/>
          <w:lang w:val="lv-LV"/>
        </w:rPr>
      </w:pPr>
    </w:p>
    <w:p w14:paraId="0526232B" w14:textId="16F8E796" w:rsidR="00E3727B" w:rsidRPr="00BB0B2E" w:rsidRDefault="00E3727B">
      <w:pPr>
        <w:rPr>
          <w:rFonts w:ascii="Myriad Pro" w:hAnsi="Myriad Pro"/>
          <w:lang w:val="lv-LV"/>
        </w:rPr>
      </w:pPr>
    </w:p>
    <w:p w14:paraId="3DB10FF9" w14:textId="7727CBA2" w:rsidR="00BB0B2E" w:rsidRPr="00BB0B2E" w:rsidRDefault="00E3727B">
      <w:pPr>
        <w:rPr>
          <w:rFonts w:ascii="Myriad Pro" w:hAnsi="Myriad Pro"/>
          <w:lang w:val="lv-LV"/>
        </w:rPr>
      </w:pPr>
      <w:r w:rsidRPr="00BB0B2E">
        <w:rPr>
          <w:rFonts w:ascii="Myriad Pro" w:hAnsi="Myriad Pro"/>
          <w:lang w:val="lv-LV"/>
        </w:rPr>
        <w:t xml:space="preserve">   </w:t>
      </w:r>
      <w:r w:rsidR="00BB0B2E" w:rsidRPr="00BB0B2E">
        <w:rPr>
          <w:rFonts w:ascii="Myriad Pro" w:hAnsi="Myriad Pro"/>
          <w:lang w:val="lv-LV"/>
        </w:rPr>
        <w:t>Iepirkuma komisijas priekšsēdētājs</w:t>
      </w:r>
      <w:r w:rsidR="00BB0B2E" w:rsidRPr="00BB0B2E">
        <w:rPr>
          <w:rFonts w:ascii="Myriad Pro" w:hAnsi="Myriad Pro"/>
          <w:lang w:val="lv-LV"/>
        </w:rPr>
        <w:tab/>
      </w:r>
      <w:r w:rsidR="00BB0B2E" w:rsidRPr="00BB0B2E">
        <w:rPr>
          <w:rFonts w:ascii="Myriad Pro" w:hAnsi="Myriad Pro"/>
          <w:lang w:val="lv-LV"/>
        </w:rPr>
        <w:tab/>
      </w:r>
      <w:r w:rsidR="00BB0B2E" w:rsidRPr="00BB0B2E">
        <w:rPr>
          <w:rFonts w:ascii="Myriad Pro" w:hAnsi="Myriad Pro"/>
          <w:lang w:val="lv-LV"/>
        </w:rPr>
        <w:tab/>
      </w:r>
      <w:r w:rsidR="00BB0B2E" w:rsidRPr="00BB0B2E">
        <w:rPr>
          <w:rFonts w:ascii="Myriad Pro" w:hAnsi="Myriad Pro"/>
          <w:lang w:val="lv-LV"/>
        </w:rPr>
        <w:tab/>
      </w:r>
      <w:r w:rsidR="00BB0B2E" w:rsidRPr="00BB0B2E">
        <w:rPr>
          <w:rFonts w:ascii="Myriad Pro" w:hAnsi="Myriad Pro"/>
          <w:lang w:val="lv-LV"/>
        </w:rPr>
        <w:tab/>
      </w:r>
      <w:r w:rsidR="00BB0B2E" w:rsidRPr="00BB0B2E">
        <w:rPr>
          <w:rFonts w:ascii="Myriad Pro" w:hAnsi="Myriad Pro"/>
          <w:lang w:val="lv-LV"/>
        </w:rPr>
        <w:tab/>
      </w:r>
      <w:r w:rsidR="00BB0B2E" w:rsidRPr="00BB0B2E">
        <w:rPr>
          <w:rFonts w:ascii="Myriad Pro" w:hAnsi="Myriad Pro"/>
          <w:lang w:val="lv-LV"/>
        </w:rPr>
        <w:tab/>
        <w:t>J. Lukševics</w:t>
      </w:r>
    </w:p>
    <w:sectPr w:rsidR="00BB0B2E" w:rsidRPr="00BB0B2E" w:rsidSect="008A5730">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E7C3D" w14:textId="77777777" w:rsidR="00474536" w:rsidRDefault="00474536" w:rsidP="008A5730">
      <w:pPr>
        <w:spacing w:after="0" w:line="240" w:lineRule="auto"/>
      </w:pPr>
      <w:r>
        <w:separator/>
      </w:r>
    </w:p>
  </w:endnote>
  <w:endnote w:type="continuationSeparator" w:id="0">
    <w:p w14:paraId="65F3378D" w14:textId="77777777" w:rsidR="00474536" w:rsidRDefault="00474536" w:rsidP="008A5730">
      <w:pPr>
        <w:spacing w:after="0" w:line="240" w:lineRule="auto"/>
      </w:pPr>
      <w:r>
        <w:continuationSeparator/>
      </w:r>
    </w:p>
  </w:endnote>
  <w:endnote w:type="continuationNotice" w:id="1">
    <w:p w14:paraId="27710785" w14:textId="77777777" w:rsidR="00474536" w:rsidRDefault="00474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079004"/>
      <w:docPartObj>
        <w:docPartGallery w:val="Page Numbers (Bottom of Page)"/>
        <w:docPartUnique/>
      </w:docPartObj>
    </w:sdtPr>
    <w:sdtEndPr>
      <w:rPr>
        <w:noProof/>
      </w:rPr>
    </w:sdtEndPr>
    <w:sdtContent>
      <w:p w14:paraId="1E29710C" w14:textId="25B1C6DC" w:rsidR="00474536" w:rsidRDefault="00474536">
        <w:pPr>
          <w:pStyle w:val="Footer"/>
          <w:jc w:val="center"/>
        </w:pPr>
        <w:r>
          <w:fldChar w:fldCharType="begin"/>
        </w:r>
        <w:r>
          <w:instrText xml:space="preserve"> PAGE   \* MERGEFORMAT </w:instrText>
        </w:r>
        <w:r>
          <w:fldChar w:fldCharType="separate"/>
        </w:r>
        <w:r w:rsidR="00A27AEA">
          <w:rPr>
            <w:noProof/>
          </w:rPr>
          <w:t>4</w:t>
        </w:r>
        <w:r>
          <w:rPr>
            <w:noProof/>
          </w:rPr>
          <w:fldChar w:fldCharType="end"/>
        </w:r>
      </w:p>
    </w:sdtContent>
  </w:sdt>
  <w:p w14:paraId="2E49EDF2" w14:textId="77777777" w:rsidR="00474536" w:rsidRDefault="00474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4A7F3" w14:textId="77777777" w:rsidR="00474536" w:rsidRDefault="00474536" w:rsidP="008A5730">
      <w:pPr>
        <w:spacing w:after="0" w:line="240" w:lineRule="auto"/>
      </w:pPr>
      <w:r>
        <w:separator/>
      </w:r>
    </w:p>
  </w:footnote>
  <w:footnote w:type="continuationSeparator" w:id="0">
    <w:p w14:paraId="60469898" w14:textId="77777777" w:rsidR="00474536" w:rsidRDefault="00474536" w:rsidP="008A5730">
      <w:pPr>
        <w:spacing w:after="0" w:line="240" w:lineRule="auto"/>
      </w:pPr>
      <w:r>
        <w:continuationSeparator/>
      </w:r>
    </w:p>
  </w:footnote>
  <w:footnote w:type="continuationNotice" w:id="1">
    <w:p w14:paraId="5EB9F1B0" w14:textId="77777777" w:rsidR="00474536" w:rsidRDefault="00474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FAB9F" w14:textId="77777777" w:rsidR="00474536" w:rsidRPr="002B2005" w:rsidRDefault="00474536" w:rsidP="008A5730">
    <w:pPr>
      <w:pStyle w:val="Header1"/>
      <w:ind w:right="4"/>
      <w:jc w:val="right"/>
      <w:rPr>
        <w:i w:val="0"/>
      </w:rPr>
    </w:pPr>
    <w:bookmarkStart w:id="2" w:name="_Hlk482888104"/>
    <w:bookmarkStart w:id="3" w:name="_Hlk482888105"/>
    <w:bookmarkStart w:id="4" w:name="_Hlk482888106"/>
    <w:bookmarkStart w:id="5" w:name="_Hlk482888107"/>
    <w:bookmarkStart w:id="6" w:name="_Hlk482888108"/>
    <w:bookmarkStart w:id="7" w:name="_Hlk482888109"/>
    <w:bookmarkStart w:id="8" w:name="_Hlk482888110"/>
    <w:bookmarkStart w:id="9" w:name="_Hlk482888111"/>
    <w:bookmarkStart w:id="10" w:name="_Hlk482888112"/>
    <w:bookmarkStart w:id="11" w:name="_Hlk482888113"/>
    <w:bookmarkStart w:id="12" w:name="_Hlk482888114"/>
    <w:bookmarkStart w:id="13" w:name="_Hlk482888115"/>
    <w:bookmarkStart w:id="14" w:name="_Hlk482888116"/>
    <w:bookmarkStart w:id="15" w:name="_Hlk482888117"/>
    <w:bookmarkStart w:id="16" w:name="_Hlk482888118"/>
    <w:bookmarkStart w:id="17" w:name="_Hlk482888119"/>
    <w:bookmarkStart w:id="18" w:name="_Hlk482888120"/>
    <w:bookmarkStart w:id="19" w:name="_Hlk482888121"/>
    <w:r>
      <w:rPr>
        <w:lang w:val="lv-LV" w:eastAsia="lv-LV"/>
      </w:rPr>
      <w:drawing>
        <wp:anchor distT="0" distB="0" distL="114300" distR="114300" simplePos="0" relativeHeight="251658240" behindDoc="0" locked="0" layoutInCell="1" allowOverlap="1" wp14:anchorId="5C651F71" wp14:editId="2E74248C">
          <wp:simplePos x="0" y="0"/>
          <wp:positionH relativeFrom="column">
            <wp:posOffset>1905</wp:posOffset>
          </wp:positionH>
          <wp:positionV relativeFrom="paragraph">
            <wp:posOffset>564</wp:posOffset>
          </wp:positionV>
          <wp:extent cx="1597660" cy="531495"/>
          <wp:effectExtent l="0" t="0" r="2540" b="1905"/>
          <wp:wrapNone/>
          <wp:docPr id="3" name="Picture 3"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005">
      <w:rPr>
        <w:i w:val="0"/>
      </w:rPr>
      <w:t>RB Rail AS</w:t>
    </w:r>
  </w:p>
  <w:p w14:paraId="0A87D047" w14:textId="77777777" w:rsidR="00474536" w:rsidRPr="002B2005" w:rsidRDefault="00474536" w:rsidP="008A5730">
    <w:pPr>
      <w:pStyle w:val="Header1"/>
      <w:ind w:right="4"/>
      <w:jc w:val="right"/>
      <w:rPr>
        <w:i w:val="0"/>
      </w:rPr>
    </w:pPr>
    <w:r w:rsidRPr="001500DB">
      <w:rPr>
        <w:i w:val="0"/>
      </w:rPr>
      <w:t>Reg. No 40103845025</w:t>
    </w:r>
    <w:r w:rsidRPr="002B2005">
      <w:rPr>
        <w:i w:val="0"/>
      </w:rPr>
      <w:t xml:space="preserve"> </w:t>
    </w:r>
  </w:p>
  <w:p w14:paraId="174DDB48" w14:textId="77777777" w:rsidR="00474536" w:rsidRDefault="00474536" w:rsidP="008A5730">
    <w:pPr>
      <w:pStyle w:val="Header1"/>
      <w:ind w:right="4"/>
      <w:jc w:val="right"/>
      <w:rPr>
        <w:i w:val="0"/>
      </w:rPr>
    </w:pPr>
    <w:r>
      <w:rPr>
        <w:i w:val="0"/>
      </w:rPr>
      <w:t>Krišjāņa Valdemāra iela 8-7</w:t>
    </w:r>
  </w:p>
  <w:p w14:paraId="20E2286F" w14:textId="77777777" w:rsidR="00474536" w:rsidRDefault="00474536" w:rsidP="008A5730">
    <w:pPr>
      <w:pStyle w:val="Header1"/>
      <w:ind w:right="4"/>
      <w:jc w:val="right"/>
      <w:rPr>
        <w:i w:val="0"/>
      </w:rPr>
    </w:pPr>
    <w:r>
      <w:rPr>
        <w:i w:val="0"/>
      </w:rPr>
      <w:t>Riga, LV-1010, Latvia</w:t>
    </w:r>
  </w:p>
  <w:p w14:paraId="1F35E48C" w14:textId="77777777" w:rsidR="00474536" w:rsidRDefault="00474536" w:rsidP="008A5730">
    <w:pPr>
      <w:pStyle w:val="Header1"/>
      <w:ind w:right="4"/>
      <w:jc w:val="right"/>
      <w:rPr>
        <w:i w:val="0"/>
      </w:rPr>
    </w:pPr>
    <w:r>
      <w:rPr>
        <w:i w:val="0"/>
      </w:rPr>
      <w:t>Phone: +371 66 967 171</w:t>
    </w:r>
  </w:p>
  <w:p w14:paraId="718D8781" w14:textId="77777777" w:rsidR="00474536" w:rsidRDefault="00474536" w:rsidP="008A5730">
    <w:pPr>
      <w:pStyle w:val="Header1"/>
      <w:ind w:right="4"/>
      <w:jc w:val="right"/>
      <w:rPr>
        <w:i w:val="0"/>
      </w:rPr>
    </w:pPr>
    <w:r>
      <w:rPr>
        <w:i w:val="0"/>
      </w:rPr>
      <w:t xml:space="preserve">e-mail: </w:t>
    </w:r>
    <w:hyperlink r:id="rId2" w:history="1">
      <w:r w:rsidRPr="00287352">
        <w:rPr>
          <w:rStyle w:val="Hyperlink"/>
          <w:i w:val="0"/>
        </w:rPr>
        <w:t>info@railbaltica.org</w:t>
      </w:r>
    </w:hyperlink>
    <w:r>
      <w:rPr>
        <w:i w:val="0"/>
      </w:rPr>
      <w:t xml:space="preserve"> </w:t>
    </w:r>
  </w:p>
  <w:p w14:paraId="5D9445FD" w14:textId="77777777" w:rsidR="00474536" w:rsidRPr="002B2005" w:rsidRDefault="00474536" w:rsidP="008A5730">
    <w:pPr>
      <w:pStyle w:val="Header1"/>
      <w:ind w:right="4"/>
      <w:jc w:val="right"/>
      <w:rPr>
        <w:i w:val="0"/>
      </w:rPr>
    </w:pPr>
    <w:r>
      <w:rPr>
        <w:i w:val="0"/>
      </w:rPr>
      <w:t xml:space="preserve">www.railbaltica.org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C4DEAEE" w14:textId="77777777" w:rsidR="00474536" w:rsidRPr="008A5730" w:rsidRDefault="00474536" w:rsidP="008A5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1016"/>
    <w:multiLevelType w:val="multilevel"/>
    <w:tmpl w:val="163C4FA0"/>
    <w:styleLink w:val="WWOutlineListStyle51129"/>
    <w:lvl w:ilvl="0">
      <w:start w:val="1"/>
      <w:numFmt w:val="decimal"/>
      <w:pStyle w:val="Heading1"/>
      <w:lvlText w:val="%1."/>
      <w:lvlJc w:val="left"/>
      <w:pPr>
        <w:ind w:left="340" w:firstLine="0"/>
      </w:pPr>
      <w:rPr>
        <w:rFonts w:ascii="Times New Roman" w:eastAsia="Times New Roman" w:hAnsi="Times New Roman" w:cs="Times New Roman"/>
      </w:rPr>
    </w:lvl>
    <w:lvl w:ilvl="1">
      <w:start w:val="1"/>
      <w:numFmt w:val="decimal"/>
      <w:pStyle w:val="Heading2"/>
      <w:lvlText w:val="%1.%2."/>
      <w:lvlJc w:val="left"/>
      <w:pPr>
        <w:ind w:left="991" w:firstLine="2"/>
      </w:pPr>
    </w:lvl>
    <w:lvl w:ilvl="2">
      <w:start w:val="1"/>
      <w:numFmt w:val="decimal"/>
      <w:pStyle w:val="Heading3"/>
      <w:lvlText w:val="%1.%2.%3."/>
      <w:lvlJc w:val="left"/>
      <w:pPr>
        <w:tabs>
          <w:tab w:val="num" w:pos="982"/>
        </w:tabs>
        <w:ind w:left="851" w:firstLine="0"/>
      </w:pPr>
      <w:rPr>
        <w:i w:val="0"/>
        <w:color w:val="auto"/>
      </w:rPr>
    </w:lvl>
    <w:lvl w:ilvl="3">
      <w:start w:val="1"/>
      <w:numFmt w:val="decimal"/>
      <w:pStyle w:val="Heading4"/>
      <w:lvlText w:val="%1.%2.%3.%4."/>
      <w:lvlJc w:val="left"/>
      <w:pPr>
        <w:tabs>
          <w:tab w:val="num" w:pos="1220"/>
        </w:tabs>
        <w:ind w:left="950"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EE63EED"/>
    <w:multiLevelType w:val="hybridMultilevel"/>
    <w:tmpl w:val="B1FA42F8"/>
    <w:lvl w:ilvl="0" w:tplc="9110AE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6D5738"/>
    <w:multiLevelType w:val="multilevel"/>
    <w:tmpl w:val="E9ECB21C"/>
    <w:lvl w:ilvl="0">
      <w:start w:val="12"/>
      <w:numFmt w:val="decimal"/>
      <w:lvlText w:val="%1."/>
      <w:lvlJc w:val="left"/>
      <w:pPr>
        <w:ind w:left="380" w:hanging="380"/>
      </w:pPr>
      <w:rPr>
        <w:b/>
      </w:rPr>
    </w:lvl>
    <w:lvl w:ilvl="1">
      <w:start w:val="1"/>
      <w:numFmt w:val="decimal"/>
      <w:lvlText w:val="%2."/>
      <w:lvlJc w:val="left"/>
      <w:pPr>
        <w:ind w:left="380" w:hanging="380"/>
      </w:pPr>
      <w:rPr>
        <w:rFonts w:ascii="Times New Roman" w:eastAsia="Helvetica" w:hAnsi="Times New Roman" w:cs="Times New Roman"/>
        <w:b w:val="0"/>
      </w:rPr>
    </w:lvl>
    <w:lvl w:ilvl="2">
      <w:start w:val="1"/>
      <w:numFmt w:val="decimal"/>
      <w:pStyle w:val="Index1"/>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56E25D3A"/>
    <w:multiLevelType w:val="hybridMultilevel"/>
    <w:tmpl w:val="22543430"/>
    <w:lvl w:ilvl="0" w:tplc="B8CA93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 w:ilvl="0">
        <w:start w:val="1"/>
        <w:numFmt w:val="decimal"/>
        <w:pStyle w:val="Heading1"/>
        <w:lvlText w:val="%1."/>
        <w:lvlJc w:val="left"/>
        <w:pPr>
          <w:ind w:left="340" w:firstLine="0"/>
        </w:pPr>
        <w:rPr>
          <w:rFonts w:ascii="Times New Roman" w:eastAsia="Times New Roman" w:hAnsi="Times New Roman" w:cs="Times New Roman"/>
        </w:rPr>
      </w:lvl>
    </w:lvlOverride>
    <w:lvlOverride w:ilvl="1">
      <w:lvl w:ilvl="1">
        <w:start w:val="1"/>
        <w:numFmt w:val="decimal"/>
        <w:pStyle w:val="Heading2"/>
        <w:lvlText w:val="%1.%2."/>
        <w:lvlJc w:val="left"/>
        <w:pPr>
          <w:ind w:left="991" w:firstLine="2"/>
        </w:pPr>
      </w:lvl>
    </w:lvlOverride>
    <w:lvlOverride w:ilvl="2">
      <w:lvl w:ilvl="2">
        <w:start w:val="1"/>
        <w:numFmt w:val="decimal"/>
        <w:pStyle w:val="Heading3"/>
        <w:lvlText w:val="%1.%2.%3."/>
        <w:lvlJc w:val="left"/>
        <w:pPr>
          <w:tabs>
            <w:tab w:val="num" w:pos="699"/>
          </w:tabs>
          <w:ind w:left="568" w:firstLine="0"/>
        </w:pPr>
        <w:rPr>
          <w:i w:val="0"/>
          <w:color w:val="auto"/>
        </w:rPr>
      </w:lvl>
    </w:lvlOverride>
    <w:lvlOverride w:ilvl="3">
      <w:lvl w:ilvl="3">
        <w:start w:val="1"/>
        <w:numFmt w:val="decimal"/>
        <w:pStyle w:val="Heading4"/>
        <w:lvlText w:val="%1.%2.%3.%4."/>
        <w:lvlJc w:val="left"/>
        <w:pPr>
          <w:tabs>
            <w:tab w:val="num" w:pos="1220"/>
          </w:tabs>
          <w:ind w:left="950" w:hanging="240"/>
        </w:pPr>
      </w:lvl>
    </w:lvlOverride>
    <w:lvlOverride w:ilvl="4">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5">
    <w:abstractNumId w:val="0"/>
    <w:lvlOverride w:ilvl="0">
      <w:lvl w:ilvl="0">
        <w:start w:val="1"/>
        <w:numFmt w:val="decimal"/>
        <w:pStyle w:val="Heading1"/>
        <w:lvlText w:val="%1."/>
        <w:lvlJc w:val="left"/>
        <w:pPr>
          <w:ind w:left="340" w:firstLine="0"/>
        </w:pPr>
        <w:rPr>
          <w:rFonts w:ascii="Times New Roman" w:eastAsia="Times New Roman" w:hAnsi="Times New Roman" w:cs="Times New Roman"/>
        </w:rPr>
      </w:lvl>
    </w:lvlOverride>
    <w:lvlOverride w:ilvl="1">
      <w:lvl w:ilvl="1">
        <w:start w:val="1"/>
        <w:numFmt w:val="decimal"/>
        <w:pStyle w:val="Heading2"/>
        <w:lvlText w:val="%1.%2."/>
        <w:lvlJc w:val="left"/>
        <w:pPr>
          <w:ind w:left="576" w:firstLine="2"/>
        </w:pPr>
      </w:lvl>
    </w:lvlOverride>
    <w:lvlOverride w:ilvl="2">
      <w:lvl w:ilvl="2">
        <w:start w:val="1"/>
        <w:numFmt w:val="decimal"/>
        <w:pStyle w:val="Heading3"/>
        <w:lvlText w:val="%1.%2.%3."/>
        <w:lvlJc w:val="left"/>
        <w:pPr>
          <w:tabs>
            <w:tab w:val="num" w:pos="982"/>
          </w:tabs>
          <w:ind w:left="851" w:firstLine="0"/>
        </w:pPr>
        <w:rPr>
          <w:b w:val="0"/>
          <w:i w:val="0"/>
          <w:color w:val="auto"/>
        </w:rPr>
      </w:lvl>
    </w:lvlOverride>
    <w:lvlOverride w:ilvl="3">
      <w:lvl w:ilvl="3">
        <w:start w:val="1"/>
        <w:numFmt w:val="decimal"/>
        <w:pStyle w:val="Heading4"/>
        <w:lvlText w:val="%1.%2.%3.%4."/>
        <w:lvlJc w:val="left"/>
        <w:pPr>
          <w:tabs>
            <w:tab w:val="num" w:pos="1503"/>
          </w:tabs>
          <w:ind w:left="1233" w:hanging="240"/>
        </w:pPr>
      </w:lvl>
    </w:lvlOverride>
    <w:lvlOverride w:ilvl="4">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30"/>
    <w:rsid w:val="000109D6"/>
    <w:rsid w:val="00011606"/>
    <w:rsid w:val="00027741"/>
    <w:rsid w:val="0004078F"/>
    <w:rsid w:val="00042EDD"/>
    <w:rsid w:val="000637C1"/>
    <w:rsid w:val="00071496"/>
    <w:rsid w:val="000759E9"/>
    <w:rsid w:val="0008657E"/>
    <w:rsid w:val="00091808"/>
    <w:rsid w:val="00097B3C"/>
    <w:rsid w:val="000D0FD4"/>
    <w:rsid w:val="000D61A0"/>
    <w:rsid w:val="000E709B"/>
    <w:rsid w:val="000F00FE"/>
    <w:rsid w:val="000F71F2"/>
    <w:rsid w:val="00107EFA"/>
    <w:rsid w:val="00112A88"/>
    <w:rsid w:val="00117B46"/>
    <w:rsid w:val="00120B73"/>
    <w:rsid w:val="00133E0B"/>
    <w:rsid w:val="00137DE2"/>
    <w:rsid w:val="00155431"/>
    <w:rsid w:val="00157631"/>
    <w:rsid w:val="00164FE8"/>
    <w:rsid w:val="00177776"/>
    <w:rsid w:val="00182F37"/>
    <w:rsid w:val="0018326A"/>
    <w:rsid w:val="001A598D"/>
    <w:rsid w:val="001A6710"/>
    <w:rsid w:val="001D4571"/>
    <w:rsid w:val="001E7A2B"/>
    <w:rsid w:val="00216E13"/>
    <w:rsid w:val="00236E8F"/>
    <w:rsid w:val="0024282C"/>
    <w:rsid w:val="0024516F"/>
    <w:rsid w:val="00257ED9"/>
    <w:rsid w:val="00260077"/>
    <w:rsid w:val="0026130B"/>
    <w:rsid w:val="002620E5"/>
    <w:rsid w:val="00263B23"/>
    <w:rsid w:val="00274DAA"/>
    <w:rsid w:val="00283DAC"/>
    <w:rsid w:val="0028699E"/>
    <w:rsid w:val="002B3D31"/>
    <w:rsid w:val="002C0172"/>
    <w:rsid w:val="002C4640"/>
    <w:rsid w:val="002D23B6"/>
    <w:rsid w:val="002D47AF"/>
    <w:rsid w:val="002D7EAB"/>
    <w:rsid w:val="002D7F2D"/>
    <w:rsid w:val="002E756C"/>
    <w:rsid w:val="002F41EC"/>
    <w:rsid w:val="00323EB5"/>
    <w:rsid w:val="0033439F"/>
    <w:rsid w:val="00347EFF"/>
    <w:rsid w:val="00355ED3"/>
    <w:rsid w:val="00360B20"/>
    <w:rsid w:val="003628A9"/>
    <w:rsid w:val="003743F4"/>
    <w:rsid w:val="00387B2A"/>
    <w:rsid w:val="00391F6E"/>
    <w:rsid w:val="00396CF9"/>
    <w:rsid w:val="0039730D"/>
    <w:rsid w:val="003C004B"/>
    <w:rsid w:val="003D373F"/>
    <w:rsid w:val="004010A3"/>
    <w:rsid w:val="00403BD9"/>
    <w:rsid w:val="00407574"/>
    <w:rsid w:val="00412FA4"/>
    <w:rsid w:val="004164C2"/>
    <w:rsid w:val="004225A5"/>
    <w:rsid w:val="004231F8"/>
    <w:rsid w:val="00440E50"/>
    <w:rsid w:val="0045681C"/>
    <w:rsid w:val="00457F5C"/>
    <w:rsid w:val="00474536"/>
    <w:rsid w:val="00476862"/>
    <w:rsid w:val="00477F73"/>
    <w:rsid w:val="0048219F"/>
    <w:rsid w:val="004B2A4C"/>
    <w:rsid w:val="00514216"/>
    <w:rsid w:val="00530338"/>
    <w:rsid w:val="00532523"/>
    <w:rsid w:val="00535625"/>
    <w:rsid w:val="005408A2"/>
    <w:rsid w:val="00540E66"/>
    <w:rsid w:val="00553FC1"/>
    <w:rsid w:val="00567D74"/>
    <w:rsid w:val="00571FD3"/>
    <w:rsid w:val="005728FF"/>
    <w:rsid w:val="00593DA6"/>
    <w:rsid w:val="005A4691"/>
    <w:rsid w:val="005C53E6"/>
    <w:rsid w:val="005D4F09"/>
    <w:rsid w:val="005E25E8"/>
    <w:rsid w:val="00601119"/>
    <w:rsid w:val="0060762F"/>
    <w:rsid w:val="00624914"/>
    <w:rsid w:val="00632DC0"/>
    <w:rsid w:val="006536B5"/>
    <w:rsid w:val="006569C4"/>
    <w:rsid w:val="00656BD6"/>
    <w:rsid w:val="006576CF"/>
    <w:rsid w:val="00672C10"/>
    <w:rsid w:val="0067448F"/>
    <w:rsid w:val="006818ED"/>
    <w:rsid w:val="006B3C1E"/>
    <w:rsid w:val="006D02BF"/>
    <w:rsid w:val="006E2ABA"/>
    <w:rsid w:val="006F1BC0"/>
    <w:rsid w:val="00702F99"/>
    <w:rsid w:val="00711FB1"/>
    <w:rsid w:val="00721B81"/>
    <w:rsid w:val="00733DBB"/>
    <w:rsid w:val="00734D61"/>
    <w:rsid w:val="00741531"/>
    <w:rsid w:val="00760848"/>
    <w:rsid w:val="0077026E"/>
    <w:rsid w:val="00770C61"/>
    <w:rsid w:val="00782935"/>
    <w:rsid w:val="00784D1F"/>
    <w:rsid w:val="00785864"/>
    <w:rsid w:val="00793F29"/>
    <w:rsid w:val="007D57E3"/>
    <w:rsid w:val="007D636B"/>
    <w:rsid w:val="007D66B1"/>
    <w:rsid w:val="007D690A"/>
    <w:rsid w:val="007E6A1D"/>
    <w:rsid w:val="007E6E3E"/>
    <w:rsid w:val="007E6FF8"/>
    <w:rsid w:val="007E7A2D"/>
    <w:rsid w:val="007F1AE6"/>
    <w:rsid w:val="00806F4E"/>
    <w:rsid w:val="008077DB"/>
    <w:rsid w:val="008205D1"/>
    <w:rsid w:val="00821279"/>
    <w:rsid w:val="00830D19"/>
    <w:rsid w:val="008348AD"/>
    <w:rsid w:val="008355F2"/>
    <w:rsid w:val="0083672D"/>
    <w:rsid w:val="0084177B"/>
    <w:rsid w:val="00842578"/>
    <w:rsid w:val="00850A1F"/>
    <w:rsid w:val="00852B3D"/>
    <w:rsid w:val="00867E22"/>
    <w:rsid w:val="008875C3"/>
    <w:rsid w:val="008A03BE"/>
    <w:rsid w:val="008A4172"/>
    <w:rsid w:val="008A5730"/>
    <w:rsid w:val="008C40FD"/>
    <w:rsid w:val="008D589E"/>
    <w:rsid w:val="008D6BFD"/>
    <w:rsid w:val="008E489D"/>
    <w:rsid w:val="0093301D"/>
    <w:rsid w:val="009361FF"/>
    <w:rsid w:val="00940A3D"/>
    <w:rsid w:val="009469D2"/>
    <w:rsid w:val="00950861"/>
    <w:rsid w:val="009625B0"/>
    <w:rsid w:val="00977E93"/>
    <w:rsid w:val="00985B9C"/>
    <w:rsid w:val="0099146C"/>
    <w:rsid w:val="00997E4F"/>
    <w:rsid w:val="009B02CE"/>
    <w:rsid w:val="009E0512"/>
    <w:rsid w:val="009E76F9"/>
    <w:rsid w:val="009F5DD9"/>
    <w:rsid w:val="00A023A5"/>
    <w:rsid w:val="00A03E72"/>
    <w:rsid w:val="00A27AEA"/>
    <w:rsid w:val="00A32ABD"/>
    <w:rsid w:val="00A32EFD"/>
    <w:rsid w:val="00A50D61"/>
    <w:rsid w:val="00A52A14"/>
    <w:rsid w:val="00A56F30"/>
    <w:rsid w:val="00A60AD5"/>
    <w:rsid w:val="00A92B8E"/>
    <w:rsid w:val="00AA04FA"/>
    <w:rsid w:val="00AB2858"/>
    <w:rsid w:val="00AC2067"/>
    <w:rsid w:val="00AD22ED"/>
    <w:rsid w:val="00AD6559"/>
    <w:rsid w:val="00AE1C4F"/>
    <w:rsid w:val="00AE4594"/>
    <w:rsid w:val="00AE4C2B"/>
    <w:rsid w:val="00AF7473"/>
    <w:rsid w:val="00AF7773"/>
    <w:rsid w:val="00B06CD8"/>
    <w:rsid w:val="00B115D6"/>
    <w:rsid w:val="00B1612C"/>
    <w:rsid w:val="00B20487"/>
    <w:rsid w:val="00B254D6"/>
    <w:rsid w:val="00B260B0"/>
    <w:rsid w:val="00B3506E"/>
    <w:rsid w:val="00B41445"/>
    <w:rsid w:val="00B71A9C"/>
    <w:rsid w:val="00B8281C"/>
    <w:rsid w:val="00B83287"/>
    <w:rsid w:val="00B94515"/>
    <w:rsid w:val="00BB03C8"/>
    <w:rsid w:val="00BB0B2E"/>
    <w:rsid w:val="00BB6767"/>
    <w:rsid w:val="00BC20FA"/>
    <w:rsid w:val="00BC3740"/>
    <w:rsid w:val="00BF475E"/>
    <w:rsid w:val="00C00CE7"/>
    <w:rsid w:val="00C21D4D"/>
    <w:rsid w:val="00C36F4E"/>
    <w:rsid w:val="00C433B3"/>
    <w:rsid w:val="00C43F2B"/>
    <w:rsid w:val="00C47867"/>
    <w:rsid w:val="00C66D82"/>
    <w:rsid w:val="00C72FB7"/>
    <w:rsid w:val="00C745BC"/>
    <w:rsid w:val="00C831CF"/>
    <w:rsid w:val="00CA64D6"/>
    <w:rsid w:val="00CC3DE0"/>
    <w:rsid w:val="00CC770F"/>
    <w:rsid w:val="00CE7A05"/>
    <w:rsid w:val="00D042DE"/>
    <w:rsid w:val="00D4360C"/>
    <w:rsid w:val="00D57050"/>
    <w:rsid w:val="00D85DFE"/>
    <w:rsid w:val="00D94A13"/>
    <w:rsid w:val="00DA5894"/>
    <w:rsid w:val="00DB60ED"/>
    <w:rsid w:val="00DD00E6"/>
    <w:rsid w:val="00DD0336"/>
    <w:rsid w:val="00DD262A"/>
    <w:rsid w:val="00DD4622"/>
    <w:rsid w:val="00DE666D"/>
    <w:rsid w:val="00DF44ED"/>
    <w:rsid w:val="00E039D4"/>
    <w:rsid w:val="00E35C8D"/>
    <w:rsid w:val="00E35DA8"/>
    <w:rsid w:val="00E362D9"/>
    <w:rsid w:val="00E3727B"/>
    <w:rsid w:val="00E41D21"/>
    <w:rsid w:val="00E5311C"/>
    <w:rsid w:val="00E7649D"/>
    <w:rsid w:val="00E847D9"/>
    <w:rsid w:val="00E879FE"/>
    <w:rsid w:val="00E923D8"/>
    <w:rsid w:val="00EC16AF"/>
    <w:rsid w:val="00EC784E"/>
    <w:rsid w:val="00EE1B87"/>
    <w:rsid w:val="00EE2031"/>
    <w:rsid w:val="00EE78F6"/>
    <w:rsid w:val="00EE796A"/>
    <w:rsid w:val="00EF519A"/>
    <w:rsid w:val="00F03649"/>
    <w:rsid w:val="00F119B6"/>
    <w:rsid w:val="00F12E3C"/>
    <w:rsid w:val="00F14566"/>
    <w:rsid w:val="00F220F4"/>
    <w:rsid w:val="00F2305C"/>
    <w:rsid w:val="00F36B90"/>
    <w:rsid w:val="00F437CF"/>
    <w:rsid w:val="00F439EE"/>
    <w:rsid w:val="00F51DF5"/>
    <w:rsid w:val="00F52EA8"/>
    <w:rsid w:val="00F55FF4"/>
    <w:rsid w:val="00F5679B"/>
    <w:rsid w:val="00F574A6"/>
    <w:rsid w:val="00F825B4"/>
    <w:rsid w:val="00F82961"/>
    <w:rsid w:val="00F909F0"/>
    <w:rsid w:val="00F96620"/>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D75A45"/>
  <w15:chartTrackingRefBased/>
  <w15:docId w15:val="{1803BCC1-42B9-49F5-A1F0-3416E785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 Heading,heading1,Antraste 1,h1,Section Heading Char,heading1 Char,Antraste 1 Char,h1 Char,H1, Rakstz.,Rakstz."/>
    <w:basedOn w:val="Normal"/>
    <w:next w:val="Heading2"/>
    <w:link w:val="Heading1Char"/>
    <w:autoRedefine/>
    <w:uiPriority w:val="9"/>
    <w:qFormat/>
    <w:rsid w:val="009B02CE"/>
    <w:pPr>
      <w:numPr>
        <w:numId w:val="4"/>
      </w:numPr>
      <w:spacing w:before="120" w:after="200" w:line="276" w:lineRule="auto"/>
      <w:jc w:val="center"/>
      <w:outlineLvl w:val="0"/>
    </w:pPr>
    <w:rPr>
      <w:rFonts w:ascii="Times New Roman" w:eastAsia="Times New Roman" w:hAnsi="Times New Roman" w:cs="Times New Roman"/>
      <w:b/>
      <w:sz w:val="24"/>
      <w:szCs w:val="24"/>
      <w:lang w:val="lv-LV" w:eastAsia="lv-LV"/>
    </w:rPr>
  </w:style>
  <w:style w:type="paragraph" w:styleId="Heading2">
    <w:name w:val="heading 2"/>
    <w:aliases w:val="1.1.not"/>
    <w:basedOn w:val="Normal"/>
    <w:link w:val="Heading2Char"/>
    <w:autoRedefine/>
    <w:uiPriority w:val="9"/>
    <w:unhideWhenUsed/>
    <w:qFormat/>
    <w:rsid w:val="009B02CE"/>
    <w:pPr>
      <w:keepNext/>
      <w:numPr>
        <w:ilvl w:val="1"/>
        <w:numId w:val="4"/>
      </w:numPr>
      <w:tabs>
        <w:tab w:val="left" w:pos="-5670"/>
        <w:tab w:val="left" w:pos="284"/>
      </w:tabs>
      <w:suppressAutoHyphens/>
      <w:autoSpaceDN w:val="0"/>
      <w:spacing w:before="60" w:after="60" w:line="240" w:lineRule="auto"/>
      <w:ind w:left="0" w:firstLine="0"/>
      <w:jc w:val="both"/>
      <w:textAlignment w:val="baseline"/>
      <w:outlineLvl w:val="1"/>
    </w:pPr>
    <w:rPr>
      <w:rFonts w:ascii="Times New Roman" w:eastAsia="Times New Roman" w:hAnsi="Times New Roman" w:cs="Times New Roman"/>
      <w:b/>
      <w:bCs/>
      <w:sz w:val="24"/>
      <w:szCs w:val="26"/>
      <w:lang w:val="lv-LV"/>
    </w:rPr>
  </w:style>
  <w:style w:type="paragraph" w:styleId="Heading3">
    <w:name w:val="heading 3"/>
    <w:basedOn w:val="Normal"/>
    <w:link w:val="Heading3Char"/>
    <w:autoRedefine/>
    <w:uiPriority w:val="9"/>
    <w:unhideWhenUsed/>
    <w:qFormat/>
    <w:rsid w:val="009B02CE"/>
    <w:pPr>
      <w:numPr>
        <w:ilvl w:val="2"/>
        <w:numId w:val="4"/>
      </w:numPr>
      <w:tabs>
        <w:tab w:val="clear" w:pos="699"/>
        <w:tab w:val="num" w:pos="0"/>
      </w:tabs>
      <w:spacing w:after="0" w:line="240" w:lineRule="auto"/>
      <w:ind w:left="851" w:hanging="851"/>
      <w:jc w:val="both"/>
      <w:outlineLvl w:val="2"/>
    </w:pPr>
    <w:rPr>
      <w:rFonts w:ascii="Times New Roman" w:eastAsia="Calibri" w:hAnsi="Times New Roman" w:cs="Times New Roman"/>
      <w:bCs/>
      <w:sz w:val="24"/>
      <w:szCs w:val="24"/>
      <w:lang w:val="lv-LV"/>
    </w:rPr>
  </w:style>
  <w:style w:type="paragraph" w:styleId="Heading4">
    <w:name w:val="heading 4"/>
    <w:basedOn w:val="Normal"/>
    <w:link w:val="Heading4Char"/>
    <w:autoRedefine/>
    <w:uiPriority w:val="9"/>
    <w:unhideWhenUsed/>
    <w:qFormat/>
    <w:rsid w:val="009B02CE"/>
    <w:pPr>
      <w:numPr>
        <w:ilvl w:val="3"/>
        <w:numId w:val="4"/>
      </w:numPr>
      <w:tabs>
        <w:tab w:val="clear" w:pos="1220"/>
        <w:tab w:val="left" w:pos="1026"/>
        <w:tab w:val="num" w:pos="1503"/>
      </w:tabs>
      <w:spacing w:before="60" w:after="60" w:line="240" w:lineRule="auto"/>
      <w:ind w:left="1701" w:hanging="850"/>
      <w:jc w:val="both"/>
      <w:outlineLvl w:val="3"/>
    </w:pPr>
    <w:rPr>
      <w:rFonts w:ascii="Times New Roman" w:eastAsia="Times New Roman" w:hAnsi="Times New Roman" w:cs="Times New Roman"/>
      <w:noProof/>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A5730"/>
    <w:rPr>
      <w:u w:val="single"/>
    </w:rPr>
  </w:style>
  <w:style w:type="paragraph" w:customStyle="1" w:styleId="Header1">
    <w:name w:val="Header1"/>
    <w:rsid w:val="008A5730"/>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rPr>
  </w:style>
  <w:style w:type="table" w:customStyle="1" w:styleId="TableGrid1">
    <w:name w:val="Table Grid1"/>
    <w:basedOn w:val="TableNormal"/>
    <w:next w:val="TableGrid"/>
    <w:uiPriority w:val="39"/>
    <w:rsid w:val="008A5730"/>
    <w:pPr>
      <w:spacing w:after="0" w:line="240" w:lineRule="auto"/>
      <w:jc w:val="both"/>
    </w:pPr>
    <w:rPr>
      <w:rFonts w:ascii="Times New Roman" w:eastAsia="Helvetica" w:hAnsi="Times New Roman" w:cs="Times New Roman"/>
      <w:sz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30"/>
  </w:style>
  <w:style w:type="paragraph" w:styleId="Footer">
    <w:name w:val="footer"/>
    <w:basedOn w:val="Normal"/>
    <w:link w:val="FooterChar"/>
    <w:uiPriority w:val="99"/>
    <w:unhideWhenUsed/>
    <w:rsid w:val="008A5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30"/>
  </w:style>
  <w:style w:type="paragraph" w:styleId="BalloonText">
    <w:name w:val="Balloon Text"/>
    <w:basedOn w:val="Normal"/>
    <w:link w:val="BalloonTextChar"/>
    <w:uiPriority w:val="99"/>
    <w:semiHidden/>
    <w:unhideWhenUsed/>
    <w:rsid w:val="00C4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3B3"/>
    <w:rPr>
      <w:rFonts w:ascii="Segoe UI" w:hAnsi="Segoe UI" w:cs="Segoe UI"/>
      <w:sz w:val="18"/>
      <w:szCs w:val="18"/>
    </w:rPr>
  </w:style>
  <w:style w:type="paragraph" w:styleId="ListParagraph">
    <w:name w:val="List Paragraph"/>
    <w:basedOn w:val="Normal"/>
    <w:link w:val="ListParagraphChar"/>
    <w:uiPriority w:val="34"/>
    <w:qFormat/>
    <w:rsid w:val="00391F6E"/>
    <w:pPr>
      <w:ind w:left="720"/>
      <w:contextualSpacing/>
    </w:pPr>
  </w:style>
  <w:style w:type="paragraph" w:styleId="NormalWeb">
    <w:name w:val="Normal (Web)"/>
    <w:basedOn w:val="Normal"/>
    <w:uiPriority w:val="99"/>
    <w:unhideWhenUsed/>
    <w:rsid w:val="00593DA6"/>
    <w:pPr>
      <w:spacing w:before="100" w:beforeAutospacing="1" w:after="100" w:afterAutospacing="1" w:line="240" w:lineRule="auto"/>
    </w:pPr>
    <w:rPr>
      <w:rFonts w:ascii="Calibri" w:hAnsi="Calibri" w:cs="Calibri"/>
      <w:lang w:val="lv-LV" w:eastAsia="lv-LV"/>
    </w:rPr>
  </w:style>
  <w:style w:type="character" w:customStyle="1" w:styleId="p-street-address">
    <w:name w:val="p-street-address"/>
    <w:basedOn w:val="DefaultParagraphFont"/>
    <w:rsid w:val="00DD262A"/>
  </w:style>
  <w:style w:type="character" w:customStyle="1" w:styleId="p-extended-address">
    <w:name w:val="p-extended-address"/>
    <w:basedOn w:val="DefaultParagraphFont"/>
    <w:rsid w:val="00DD262A"/>
  </w:style>
  <w:style w:type="character" w:customStyle="1" w:styleId="p-locality">
    <w:name w:val="p-locality"/>
    <w:basedOn w:val="DefaultParagraphFont"/>
    <w:rsid w:val="00DD262A"/>
  </w:style>
  <w:style w:type="character" w:customStyle="1" w:styleId="p-postal-code">
    <w:name w:val="p-postal-code"/>
    <w:basedOn w:val="DefaultParagraphFont"/>
    <w:rsid w:val="00DD262A"/>
  </w:style>
  <w:style w:type="character" w:customStyle="1" w:styleId="p-country-name">
    <w:name w:val="p-country-name"/>
    <w:basedOn w:val="DefaultParagraphFont"/>
    <w:rsid w:val="00DD262A"/>
  </w:style>
  <w:style w:type="character" w:styleId="UnresolvedMention">
    <w:name w:val="Unresolved Mention"/>
    <w:basedOn w:val="DefaultParagraphFont"/>
    <w:uiPriority w:val="99"/>
    <w:semiHidden/>
    <w:unhideWhenUsed/>
    <w:rsid w:val="00F5679B"/>
    <w:rPr>
      <w:color w:val="808080"/>
      <w:shd w:val="clear" w:color="auto" w:fill="E6E6E6"/>
    </w:rPr>
  </w:style>
  <w:style w:type="paragraph" w:styleId="PlainText">
    <w:name w:val="Plain Text"/>
    <w:basedOn w:val="Normal"/>
    <w:link w:val="PlainTextChar"/>
    <w:uiPriority w:val="99"/>
    <w:semiHidden/>
    <w:unhideWhenUsed/>
    <w:rsid w:val="00C72FB7"/>
    <w:pPr>
      <w:spacing w:after="0" w:line="240" w:lineRule="auto"/>
    </w:pPr>
    <w:rPr>
      <w:rFonts w:ascii="Calibri" w:hAnsi="Calibri"/>
      <w:szCs w:val="21"/>
      <w:lang w:val="lv-LV"/>
    </w:rPr>
  </w:style>
  <w:style w:type="character" w:customStyle="1" w:styleId="PlainTextChar">
    <w:name w:val="Plain Text Char"/>
    <w:basedOn w:val="DefaultParagraphFont"/>
    <w:link w:val="PlainText"/>
    <w:uiPriority w:val="99"/>
    <w:semiHidden/>
    <w:rsid w:val="00C72FB7"/>
    <w:rPr>
      <w:rFonts w:ascii="Calibri" w:hAnsi="Calibri"/>
      <w:szCs w:val="21"/>
      <w:lang w:val="lv-LV"/>
    </w:rPr>
  </w:style>
  <w:style w:type="paragraph" w:styleId="Index1">
    <w:name w:val="index 1"/>
    <w:basedOn w:val="Normal"/>
    <w:next w:val="Normal"/>
    <w:autoRedefine/>
    <w:uiPriority w:val="99"/>
    <w:unhideWhenUsed/>
    <w:rsid w:val="00656BD6"/>
    <w:pPr>
      <w:widowControl w:val="0"/>
      <w:numPr>
        <w:ilvl w:val="2"/>
        <w:numId w:val="2"/>
      </w:numPr>
      <w:spacing w:after="0" w:line="240" w:lineRule="auto"/>
      <w:ind w:right="38" w:hanging="862"/>
      <w:jc w:val="both"/>
    </w:pPr>
    <w:rPr>
      <w:rFonts w:ascii="Myriad Pro" w:eastAsia="Cambria" w:hAnsi="Myriad Pro" w:cs="Cambria"/>
      <w:kern w:val="56"/>
      <w:sz w:val="20"/>
      <w:szCs w:val="20"/>
      <w:lang w:val="lv-LV"/>
    </w:rPr>
  </w:style>
  <w:style w:type="character" w:customStyle="1" w:styleId="ListParagraphChar">
    <w:name w:val="List Paragraph Char"/>
    <w:link w:val="ListParagraph"/>
    <w:uiPriority w:val="34"/>
    <w:locked/>
    <w:rsid w:val="00656BD6"/>
  </w:style>
  <w:style w:type="character" w:customStyle="1" w:styleId="Heading1Char">
    <w:name w:val="Heading 1 Char"/>
    <w:aliases w:val="Section Heading Char1,heading1 Char1,Antraste 1 Char1,h1 Char1,Section Heading Char Char,heading1 Char Char,Antraste 1 Char Char,h1 Char Char,H1 Char, Rakstz. Char,Rakstz. Char"/>
    <w:basedOn w:val="DefaultParagraphFont"/>
    <w:link w:val="Heading1"/>
    <w:uiPriority w:val="9"/>
    <w:rsid w:val="009B02CE"/>
    <w:rPr>
      <w:rFonts w:ascii="Times New Roman" w:eastAsia="Times New Roman" w:hAnsi="Times New Roman" w:cs="Times New Roman"/>
      <w:b/>
      <w:sz w:val="24"/>
      <w:szCs w:val="24"/>
      <w:lang w:val="lv-LV" w:eastAsia="lv-LV"/>
    </w:rPr>
  </w:style>
  <w:style w:type="character" w:customStyle="1" w:styleId="Heading2Char">
    <w:name w:val="Heading 2 Char"/>
    <w:aliases w:val="1.1.not Char"/>
    <w:basedOn w:val="DefaultParagraphFont"/>
    <w:link w:val="Heading2"/>
    <w:uiPriority w:val="9"/>
    <w:rsid w:val="009B02CE"/>
    <w:rPr>
      <w:rFonts w:ascii="Times New Roman" w:eastAsia="Times New Roman" w:hAnsi="Times New Roman" w:cs="Times New Roman"/>
      <w:b/>
      <w:bCs/>
      <w:sz w:val="24"/>
      <w:szCs w:val="26"/>
      <w:lang w:val="lv-LV"/>
    </w:rPr>
  </w:style>
  <w:style w:type="character" w:customStyle="1" w:styleId="Heading3Char">
    <w:name w:val="Heading 3 Char"/>
    <w:basedOn w:val="DefaultParagraphFont"/>
    <w:link w:val="Heading3"/>
    <w:uiPriority w:val="9"/>
    <w:rsid w:val="009B02CE"/>
    <w:rPr>
      <w:rFonts w:ascii="Times New Roman" w:eastAsia="Calibri" w:hAnsi="Times New Roman" w:cs="Times New Roman"/>
      <w:bCs/>
      <w:sz w:val="24"/>
      <w:szCs w:val="24"/>
      <w:lang w:val="lv-LV"/>
    </w:rPr>
  </w:style>
  <w:style w:type="character" w:customStyle="1" w:styleId="Heading4Char">
    <w:name w:val="Heading 4 Char"/>
    <w:basedOn w:val="DefaultParagraphFont"/>
    <w:link w:val="Heading4"/>
    <w:uiPriority w:val="9"/>
    <w:rsid w:val="009B02CE"/>
    <w:rPr>
      <w:rFonts w:ascii="Times New Roman" w:eastAsia="Times New Roman" w:hAnsi="Times New Roman" w:cs="Times New Roman"/>
      <w:noProof/>
      <w:sz w:val="24"/>
      <w:szCs w:val="24"/>
      <w:lang w:val="lv-LV"/>
    </w:rPr>
  </w:style>
  <w:style w:type="numbering" w:customStyle="1" w:styleId="WWOutlineListStyle51129">
    <w:name w:val="WW_OutlineListStyle_51129"/>
    <w:rsid w:val="009B02C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6624">
      <w:bodyDiv w:val="1"/>
      <w:marLeft w:val="0"/>
      <w:marRight w:val="0"/>
      <w:marTop w:val="0"/>
      <w:marBottom w:val="0"/>
      <w:divBdr>
        <w:top w:val="none" w:sz="0" w:space="0" w:color="auto"/>
        <w:left w:val="none" w:sz="0" w:space="0" w:color="auto"/>
        <w:bottom w:val="none" w:sz="0" w:space="0" w:color="auto"/>
        <w:right w:val="none" w:sz="0" w:space="0" w:color="auto"/>
      </w:divBdr>
    </w:div>
    <w:div w:id="197356302">
      <w:bodyDiv w:val="1"/>
      <w:marLeft w:val="0"/>
      <w:marRight w:val="0"/>
      <w:marTop w:val="0"/>
      <w:marBottom w:val="0"/>
      <w:divBdr>
        <w:top w:val="none" w:sz="0" w:space="0" w:color="auto"/>
        <w:left w:val="none" w:sz="0" w:space="0" w:color="auto"/>
        <w:bottom w:val="none" w:sz="0" w:space="0" w:color="auto"/>
        <w:right w:val="none" w:sz="0" w:space="0" w:color="auto"/>
      </w:divBdr>
      <w:divsChild>
        <w:div w:id="304360972">
          <w:marLeft w:val="0"/>
          <w:marRight w:val="0"/>
          <w:marTop w:val="0"/>
          <w:marBottom w:val="0"/>
          <w:divBdr>
            <w:top w:val="none" w:sz="0" w:space="0" w:color="auto"/>
            <w:left w:val="none" w:sz="0" w:space="0" w:color="auto"/>
            <w:bottom w:val="none" w:sz="0" w:space="0" w:color="auto"/>
            <w:right w:val="none" w:sz="0" w:space="0" w:color="auto"/>
          </w:divBdr>
          <w:divsChild>
            <w:div w:id="200676178">
              <w:marLeft w:val="0"/>
              <w:marRight w:val="0"/>
              <w:marTop w:val="0"/>
              <w:marBottom w:val="0"/>
              <w:divBdr>
                <w:top w:val="none" w:sz="0" w:space="0" w:color="auto"/>
                <w:left w:val="none" w:sz="0" w:space="0" w:color="auto"/>
                <w:bottom w:val="none" w:sz="0" w:space="0" w:color="auto"/>
                <w:right w:val="none" w:sz="0" w:space="0" w:color="auto"/>
              </w:divBdr>
              <w:divsChild>
                <w:div w:id="280192661">
                  <w:marLeft w:val="0"/>
                  <w:marRight w:val="0"/>
                  <w:marTop w:val="0"/>
                  <w:marBottom w:val="0"/>
                  <w:divBdr>
                    <w:top w:val="none" w:sz="0" w:space="0" w:color="auto"/>
                    <w:left w:val="none" w:sz="0" w:space="0" w:color="auto"/>
                    <w:bottom w:val="none" w:sz="0" w:space="0" w:color="auto"/>
                    <w:right w:val="none" w:sz="0" w:space="0" w:color="auto"/>
                  </w:divBdr>
                  <w:divsChild>
                    <w:div w:id="321082945">
                      <w:marLeft w:val="0"/>
                      <w:marRight w:val="0"/>
                      <w:marTop w:val="0"/>
                      <w:marBottom w:val="0"/>
                      <w:divBdr>
                        <w:top w:val="none" w:sz="0" w:space="0" w:color="auto"/>
                        <w:left w:val="none" w:sz="0" w:space="0" w:color="auto"/>
                        <w:bottom w:val="none" w:sz="0" w:space="0" w:color="auto"/>
                        <w:right w:val="none" w:sz="0" w:space="0" w:color="auto"/>
                      </w:divBdr>
                      <w:divsChild>
                        <w:div w:id="4111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06873">
              <w:marLeft w:val="0"/>
              <w:marRight w:val="0"/>
              <w:marTop w:val="0"/>
              <w:marBottom w:val="0"/>
              <w:divBdr>
                <w:top w:val="none" w:sz="0" w:space="0" w:color="auto"/>
                <w:left w:val="none" w:sz="0" w:space="0" w:color="auto"/>
                <w:bottom w:val="none" w:sz="0" w:space="0" w:color="auto"/>
                <w:right w:val="none" w:sz="0" w:space="0" w:color="auto"/>
              </w:divBdr>
              <w:divsChild>
                <w:div w:id="48116227">
                  <w:marLeft w:val="0"/>
                  <w:marRight w:val="0"/>
                  <w:marTop w:val="0"/>
                  <w:marBottom w:val="0"/>
                  <w:divBdr>
                    <w:top w:val="none" w:sz="0" w:space="0" w:color="auto"/>
                    <w:left w:val="none" w:sz="0" w:space="0" w:color="auto"/>
                    <w:bottom w:val="none" w:sz="0" w:space="0" w:color="auto"/>
                    <w:right w:val="none" w:sz="0" w:space="0" w:color="auto"/>
                  </w:divBdr>
                  <w:divsChild>
                    <w:div w:id="1394809961">
                      <w:marLeft w:val="0"/>
                      <w:marRight w:val="0"/>
                      <w:marTop w:val="0"/>
                      <w:marBottom w:val="0"/>
                      <w:divBdr>
                        <w:top w:val="none" w:sz="0" w:space="0" w:color="auto"/>
                        <w:left w:val="none" w:sz="0" w:space="0" w:color="auto"/>
                        <w:bottom w:val="none" w:sz="0" w:space="0" w:color="auto"/>
                        <w:right w:val="none" w:sz="0" w:space="0" w:color="auto"/>
                      </w:divBdr>
                      <w:divsChild>
                        <w:div w:id="12345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670467">
      <w:bodyDiv w:val="1"/>
      <w:marLeft w:val="0"/>
      <w:marRight w:val="0"/>
      <w:marTop w:val="0"/>
      <w:marBottom w:val="0"/>
      <w:divBdr>
        <w:top w:val="none" w:sz="0" w:space="0" w:color="auto"/>
        <w:left w:val="none" w:sz="0" w:space="0" w:color="auto"/>
        <w:bottom w:val="none" w:sz="0" w:space="0" w:color="auto"/>
        <w:right w:val="none" w:sz="0" w:space="0" w:color="auto"/>
      </w:divBdr>
    </w:div>
    <w:div w:id="11533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railbaltic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9191B-2463-48FD-8B3D-CA84E68FAAFD}">
  <ds:schemaRefs>
    <ds:schemaRef ds:uri="http://schemas.microsoft.com/sharepoint/v3/contenttype/forms"/>
  </ds:schemaRefs>
</ds:datastoreItem>
</file>

<file path=customXml/itemProps2.xml><?xml version="1.0" encoding="utf-8"?>
<ds:datastoreItem xmlns:ds="http://schemas.openxmlformats.org/officeDocument/2006/customXml" ds:itemID="{E3938AF6-5FA5-4E76-978F-A99FFC4DBCA8}">
  <ds:schemaRefs>
    <ds:schemaRef ds:uri="http://purl.org/dc/dcmitype/"/>
    <ds:schemaRef ds:uri="http://schemas.microsoft.com/office/infopath/2007/PartnerControls"/>
    <ds:schemaRef ds:uri="016a8d99-7c2d-46f1-b2a0-cd04a8711ea3"/>
    <ds:schemaRef ds:uri="http://schemas.microsoft.com/office/2006/metadata/properties"/>
    <ds:schemaRef ds:uri="http://schemas.microsoft.com/office/2006/documentManagement/types"/>
    <ds:schemaRef ds:uri="74c9b134-2d46-4c40-a4e5-dc843e62e8ed"/>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1210D78-04CD-4DB0-9AFB-2616BF082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8878</Words>
  <Characters>5062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Saule</dc:creator>
  <cp:keywords/>
  <dc:description/>
  <cp:lastModifiedBy>Jānis Lukševics</cp:lastModifiedBy>
  <cp:revision>2</cp:revision>
  <cp:lastPrinted>2017-05-18T13:50:00Z</cp:lastPrinted>
  <dcterms:created xsi:type="dcterms:W3CDTF">2018-07-06T12:38:00Z</dcterms:created>
  <dcterms:modified xsi:type="dcterms:W3CDTF">2018-07-06T12:38:00Z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