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88755" w14:textId="77777777" w:rsidR="00071977" w:rsidRPr="00F6095F" w:rsidRDefault="00071977" w:rsidP="00071977">
      <w:pPr>
        <w:pStyle w:val="1stlevelheading"/>
        <w:numPr>
          <w:ilvl w:val="0"/>
          <w:numId w:val="0"/>
        </w:numPr>
        <w:rPr>
          <w:rFonts w:ascii="Myriad Pro" w:hAnsi="Myriad Pro"/>
          <w:sz w:val="22"/>
          <w:szCs w:val="22"/>
        </w:rPr>
      </w:pPr>
      <w:bookmarkStart w:id="0" w:name="_Toc471229464"/>
      <w:bookmarkStart w:id="1" w:name="_Toc471229770"/>
      <w:bookmarkStart w:id="2" w:name="_Toc501533331"/>
      <w:bookmarkStart w:id="3" w:name="_Toc501563746"/>
      <w:r w:rsidRPr="64F07733">
        <w:rPr>
          <w:rFonts w:ascii="Myriad Pro" w:hAnsi="Myriad Pro"/>
          <w:sz w:val="22"/>
          <w:szCs w:val="22"/>
        </w:rPr>
        <w:t>Annex No 5: Experience of Tenderer</w:t>
      </w:r>
      <w:bookmarkEnd w:id="0"/>
      <w:bookmarkEnd w:id="1"/>
      <w:bookmarkEnd w:id="2"/>
      <w:bookmarkEnd w:id="3"/>
    </w:p>
    <w:p w14:paraId="5E1CBDF7" w14:textId="77777777" w:rsidR="00071977" w:rsidRPr="00D03536" w:rsidRDefault="00071977" w:rsidP="00071977">
      <w:pPr>
        <w:pStyle w:val="SLONormal"/>
        <w:rPr>
          <w:rFonts w:ascii="Myriad Pro" w:hAnsi="Myriad Pro"/>
          <w:sz w:val="20"/>
          <w:szCs w:val="20"/>
        </w:rPr>
      </w:pPr>
    </w:p>
    <w:tbl>
      <w:tblPr>
        <w:tblStyle w:val="ListTable3-Accent1"/>
        <w:tblW w:w="13887" w:type="dxa"/>
        <w:tblLook w:val="0420" w:firstRow="1" w:lastRow="0" w:firstColumn="0" w:lastColumn="0" w:noHBand="0" w:noVBand="1"/>
      </w:tblPr>
      <w:tblGrid>
        <w:gridCol w:w="560"/>
        <w:gridCol w:w="2837"/>
        <w:gridCol w:w="2552"/>
        <w:gridCol w:w="2126"/>
        <w:gridCol w:w="1559"/>
        <w:gridCol w:w="2268"/>
        <w:gridCol w:w="1985"/>
      </w:tblGrid>
      <w:tr w:rsidR="00071977" w:rsidRPr="00D03536" w14:paraId="284622ED" w14:textId="77777777" w:rsidTr="00F3767D">
        <w:trPr>
          <w:cnfStyle w:val="100000000000" w:firstRow="1" w:lastRow="0" w:firstColumn="0" w:lastColumn="0" w:oddVBand="0" w:evenVBand="0" w:oddHBand="0" w:evenHBand="0" w:firstRowFirstColumn="0" w:firstRowLastColumn="0" w:lastRowFirstColumn="0" w:lastRowLastColumn="0"/>
          <w:trHeight w:val="332"/>
        </w:trPr>
        <w:tc>
          <w:tcPr>
            <w:tcW w:w="560" w:type="dxa"/>
          </w:tcPr>
          <w:p w14:paraId="0FB090C3" w14:textId="77777777" w:rsidR="00071977" w:rsidRPr="00D03536" w:rsidRDefault="00071977" w:rsidP="00F3767D">
            <w:pPr>
              <w:jc w:val="center"/>
              <w:rPr>
                <w:sz w:val="20"/>
                <w:szCs w:val="20"/>
                <w:lang w:val="en-GB"/>
              </w:rPr>
            </w:pPr>
            <w:r w:rsidRPr="64F07733">
              <w:rPr>
                <w:sz w:val="20"/>
                <w:szCs w:val="20"/>
                <w:lang w:val="en-GB"/>
              </w:rPr>
              <w:t>No</w:t>
            </w:r>
          </w:p>
        </w:tc>
        <w:tc>
          <w:tcPr>
            <w:tcW w:w="2837" w:type="dxa"/>
          </w:tcPr>
          <w:p w14:paraId="03AE4F20" w14:textId="77777777" w:rsidR="00071977" w:rsidRPr="00D03536" w:rsidRDefault="00071977" w:rsidP="00F3767D">
            <w:pPr>
              <w:jc w:val="center"/>
              <w:rPr>
                <w:sz w:val="20"/>
                <w:szCs w:val="20"/>
                <w:lang w:val="en-GB"/>
              </w:rPr>
            </w:pPr>
            <w:r w:rsidRPr="64F07733">
              <w:rPr>
                <w:sz w:val="20"/>
                <w:szCs w:val="20"/>
                <w:lang w:val="en-GB"/>
              </w:rPr>
              <w:t>Description of the services which characterize the required experience</w:t>
            </w:r>
            <w:r>
              <w:rPr>
                <w:sz w:val="20"/>
                <w:szCs w:val="20"/>
                <w:lang w:val="en-GB"/>
              </w:rPr>
              <w:t xml:space="preserve"> in Section 7.4.</w:t>
            </w:r>
          </w:p>
        </w:tc>
        <w:tc>
          <w:tcPr>
            <w:tcW w:w="2552" w:type="dxa"/>
          </w:tcPr>
          <w:p w14:paraId="511E40A3" w14:textId="77777777" w:rsidR="00071977" w:rsidRPr="00D03536" w:rsidRDefault="00071977" w:rsidP="00F3767D">
            <w:pPr>
              <w:jc w:val="center"/>
              <w:rPr>
                <w:sz w:val="20"/>
                <w:szCs w:val="20"/>
                <w:lang w:val="en-GB"/>
              </w:rPr>
            </w:pPr>
            <w:r w:rsidRPr="64F07733">
              <w:rPr>
                <w:sz w:val="20"/>
                <w:szCs w:val="20"/>
                <w:lang w:val="en-GB"/>
              </w:rPr>
              <w:t xml:space="preserve">Date </w:t>
            </w:r>
            <w:proofErr w:type="gramStart"/>
            <w:r w:rsidRPr="64F07733">
              <w:rPr>
                <w:sz w:val="20"/>
                <w:szCs w:val="20"/>
                <w:lang w:val="en-GB"/>
              </w:rPr>
              <w:t xml:space="preserve">of </w:t>
            </w:r>
            <w:r>
              <w:rPr>
                <w:sz w:val="20"/>
                <w:szCs w:val="20"/>
                <w:lang w:val="en-GB"/>
              </w:rPr>
              <w:t xml:space="preserve"> </w:t>
            </w:r>
            <w:r w:rsidRPr="64F07733">
              <w:rPr>
                <w:sz w:val="20"/>
                <w:szCs w:val="20"/>
                <w:lang w:val="en-GB"/>
              </w:rPr>
              <w:t>completion</w:t>
            </w:r>
            <w:proofErr w:type="gramEnd"/>
            <w:r w:rsidRPr="64F07733">
              <w:rPr>
                <w:sz w:val="20"/>
                <w:szCs w:val="20"/>
                <w:lang w:val="en-GB"/>
              </w:rPr>
              <w:t xml:space="preserve"> of the services</w:t>
            </w:r>
          </w:p>
        </w:tc>
        <w:tc>
          <w:tcPr>
            <w:tcW w:w="2126" w:type="dxa"/>
          </w:tcPr>
          <w:p w14:paraId="10A28808" w14:textId="77777777" w:rsidR="00071977" w:rsidRPr="00D03536" w:rsidRDefault="00071977" w:rsidP="00F3767D">
            <w:pPr>
              <w:jc w:val="center"/>
              <w:rPr>
                <w:sz w:val="20"/>
                <w:szCs w:val="20"/>
                <w:lang w:val="en-GB"/>
              </w:rPr>
            </w:pPr>
            <w:r w:rsidRPr="64F07733">
              <w:rPr>
                <w:sz w:val="20"/>
                <w:szCs w:val="20"/>
                <w:lang w:val="en-GB"/>
              </w:rPr>
              <w:t>Contracting authority</w:t>
            </w:r>
          </w:p>
        </w:tc>
        <w:tc>
          <w:tcPr>
            <w:tcW w:w="1559" w:type="dxa"/>
          </w:tcPr>
          <w:p w14:paraId="46495414" w14:textId="77777777" w:rsidR="00071977" w:rsidRPr="00D03536" w:rsidRDefault="00071977" w:rsidP="00F3767D">
            <w:pPr>
              <w:jc w:val="center"/>
              <w:rPr>
                <w:sz w:val="20"/>
                <w:szCs w:val="20"/>
                <w:lang w:val="en-GB"/>
              </w:rPr>
            </w:pPr>
            <w:r>
              <w:rPr>
                <w:sz w:val="20"/>
                <w:szCs w:val="20"/>
                <w:lang w:val="en-GB"/>
              </w:rPr>
              <w:t>Industry represented</w:t>
            </w:r>
          </w:p>
        </w:tc>
        <w:tc>
          <w:tcPr>
            <w:tcW w:w="2268" w:type="dxa"/>
          </w:tcPr>
          <w:p w14:paraId="062B4D73" w14:textId="77777777" w:rsidR="00071977" w:rsidRPr="64F07733" w:rsidRDefault="00071977" w:rsidP="00F3767D">
            <w:pPr>
              <w:jc w:val="center"/>
              <w:rPr>
                <w:sz w:val="20"/>
                <w:szCs w:val="20"/>
                <w:lang w:val="en-GB"/>
              </w:rPr>
            </w:pPr>
            <w:r>
              <w:rPr>
                <w:sz w:val="20"/>
                <w:szCs w:val="20"/>
                <w:lang w:val="en-GB"/>
              </w:rPr>
              <w:t xml:space="preserve">Information for involved </w:t>
            </w:r>
            <w:r w:rsidRPr="00CB44E5">
              <w:rPr>
                <w:sz w:val="20"/>
                <w:szCs w:val="20"/>
                <w:lang w:val="en-GB"/>
              </w:rPr>
              <w:t xml:space="preserve">countries </w:t>
            </w:r>
            <w:r>
              <w:rPr>
                <w:sz w:val="20"/>
                <w:szCs w:val="20"/>
                <w:lang w:val="en-GB"/>
              </w:rPr>
              <w:t>providing services</w:t>
            </w:r>
          </w:p>
        </w:tc>
        <w:tc>
          <w:tcPr>
            <w:tcW w:w="1985" w:type="dxa"/>
          </w:tcPr>
          <w:p w14:paraId="4646E182" w14:textId="77777777" w:rsidR="00071977" w:rsidRPr="00D03536" w:rsidRDefault="00071977" w:rsidP="00F3767D">
            <w:pPr>
              <w:jc w:val="center"/>
              <w:rPr>
                <w:sz w:val="20"/>
                <w:szCs w:val="20"/>
                <w:lang w:val="en-GB"/>
              </w:rPr>
            </w:pPr>
            <w:r w:rsidRPr="64F07733">
              <w:rPr>
                <w:sz w:val="20"/>
                <w:szCs w:val="20"/>
                <w:lang w:val="en-GB"/>
              </w:rPr>
              <w:t>Contact information for references</w:t>
            </w:r>
          </w:p>
        </w:tc>
      </w:tr>
      <w:tr w:rsidR="00071977" w:rsidRPr="00D03536" w14:paraId="2BD69933" w14:textId="77777777" w:rsidTr="00F3767D">
        <w:trPr>
          <w:cnfStyle w:val="000000100000" w:firstRow="0" w:lastRow="0" w:firstColumn="0" w:lastColumn="0" w:oddVBand="0" w:evenVBand="0" w:oddHBand="1" w:evenHBand="0" w:firstRowFirstColumn="0" w:firstRowLastColumn="0" w:lastRowFirstColumn="0" w:lastRowLastColumn="0"/>
        </w:trPr>
        <w:tc>
          <w:tcPr>
            <w:tcW w:w="560" w:type="dxa"/>
          </w:tcPr>
          <w:p w14:paraId="25B6AAC0" w14:textId="77777777" w:rsidR="00071977" w:rsidRPr="00D03536" w:rsidRDefault="00071977" w:rsidP="00F3767D">
            <w:pPr>
              <w:jc w:val="center"/>
              <w:rPr>
                <w:sz w:val="20"/>
                <w:szCs w:val="20"/>
                <w:lang w:val="en-GB"/>
              </w:rPr>
            </w:pPr>
            <w:r w:rsidRPr="2F2081A9">
              <w:rPr>
                <w:sz w:val="20"/>
                <w:szCs w:val="20"/>
                <w:lang w:val="en-GB"/>
              </w:rPr>
              <w:t>1.</w:t>
            </w:r>
          </w:p>
        </w:tc>
        <w:tc>
          <w:tcPr>
            <w:tcW w:w="2837" w:type="dxa"/>
          </w:tcPr>
          <w:p w14:paraId="6BC15A9E" w14:textId="77777777" w:rsidR="00071977" w:rsidRPr="00D03536" w:rsidRDefault="00071977" w:rsidP="00F3767D">
            <w:pPr>
              <w:jc w:val="center"/>
              <w:rPr>
                <w:sz w:val="20"/>
                <w:lang w:val="en-GB"/>
              </w:rPr>
            </w:pPr>
          </w:p>
        </w:tc>
        <w:tc>
          <w:tcPr>
            <w:tcW w:w="2552" w:type="dxa"/>
          </w:tcPr>
          <w:p w14:paraId="73BE5B8D" w14:textId="77777777" w:rsidR="00071977" w:rsidRPr="00D03536" w:rsidRDefault="00071977" w:rsidP="00F3767D">
            <w:pPr>
              <w:jc w:val="center"/>
              <w:rPr>
                <w:sz w:val="20"/>
                <w:lang w:val="en-GB"/>
              </w:rPr>
            </w:pPr>
          </w:p>
        </w:tc>
        <w:tc>
          <w:tcPr>
            <w:tcW w:w="2126" w:type="dxa"/>
          </w:tcPr>
          <w:p w14:paraId="68CB2FAC" w14:textId="77777777" w:rsidR="00071977" w:rsidRPr="00D03536" w:rsidRDefault="00071977" w:rsidP="00F3767D">
            <w:pPr>
              <w:jc w:val="center"/>
              <w:rPr>
                <w:sz w:val="20"/>
                <w:lang w:val="en-GB"/>
              </w:rPr>
            </w:pPr>
          </w:p>
        </w:tc>
        <w:tc>
          <w:tcPr>
            <w:tcW w:w="1559" w:type="dxa"/>
          </w:tcPr>
          <w:p w14:paraId="55F0D8A3" w14:textId="77777777" w:rsidR="00071977" w:rsidRPr="00D03536" w:rsidRDefault="00071977" w:rsidP="00F3767D">
            <w:pPr>
              <w:jc w:val="center"/>
              <w:rPr>
                <w:sz w:val="20"/>
                <w:lang w:val="en-GB"/>
              </w:rPr>
            </w:pPr>
          </w:p>
        </w:tc>
        <w:tc>
          <w:tcPr>
            <w:tcW w:w="2268" w:type="dxa"/>
          </w:tcPr>
          <w:p w14:paraId="13B3C86C" w14:textId="77777777" w:rsidR="00071977" w:rsidRPr="00D03536" w:rsidRDefault="00071977" w:rsidP="00F3767D">
            <w:pPr>
              <w:jc w:val="center"/>
              <w:rPr>
                <w:sz w:val="20"/>
                <w:lang w:val="en-GB"/>
              </w:rPr>
            </w:pPr>
          </w:p>
        </w:tc>
        <w:tc>
          <w:tcPr>
            <w:tcW w:w="1985" w:type="dxa"/>
          </w:tcPr>
          <w:p w14:paraId="731C9D97" w14:textId="77777777" w:rsidR="00071977" w:rsidRPr="00D03536" w:rsidRDefault="00071977" w:rsidP="00F3767D">
            <w:pPr>
              <w:jc w:val="center"/>
              <w:rPr>
                <w:sz w:val="20"/>
                <w:lang w:val="en-GB"/>
              </w:rPr>
            </w:pPr>
          </w:p>
        </w:tc>
      </w:tr>
      <w:tr w:rsidR="00071977" w:rsidRPr="00D03536" w14:paraId="42D998B6" w14:textId="77777777" w:rsidTr="00F3767D">
        <w:tc>
          <w:tcPr>
            <w:tcW w:w="560" w:type="dxa"/>
          </w:tcPr>
          <w:p w14:paraId="62C0105E" w14:textId="77777777" w:rsidR="00071977" w:rsidRPr="00D03536" w:rsidRDefault="00071977" w:rsidP="00F3767D">
            <w:pPr>
              <w:jc w:val="center"/>
              <w:rPr>
                <w:sz w:val="20"/>
                <w:szCs w:val="20"/>
                <w:lang w:val="en-GB"/>
              </w:rPr>
            </w:pPr>
            <w:r w:rsidRPr="2F2081A9">
              <w:rPr>
                <w:sz w:val="20"/>
                <w:szCs w:val="20"/>
                <w:lang w:val="en-GB"/>
              </w:rPr>
              <w:t>2.</w:t>
            </w:r>
          </w:p>
        </w:tc>
        <w:tc>
          <w:tcPr>
            <w:tcW w:w="2837" w:type="dxa"/>
          </w:tcPr>
          <w:p w14:paraId="7D40D3FD" w14:textId="77777777" w:rsidR="00071977" w:rsidRPr="00D03536" w:rsidRDefault="00071977" w:rsidP="00F3767D">
            <w:pPr>
              <w:jc w:val="center"/>
              <w:rPr>
                <w:sz w:val="20"/>
                <w:lang w:val="en-GB"/>
              </w:rPr>
            </w:pPr>
          </w:p>
        </w:tc>
        <w:tc>
          <w:tcPr>
            <w:tcW w:w="2552" w:type="dxa"/>
          </w:tcPr>
          <w:p w14:paraId="3B119C0D" w14:textId="77777777" w:rsidR="00071977" w:rsidRPr="00D03536" w:rsidRDefault="00071977" w:rsidP="00F3767D">
            <w:pPr>
              <w:jc w:val="center"/>
              <w:rPr>
                <w:sz w:val="20"/>
                <w:lang w:val="en-GB"/>
              </w:rPr>
            </w:pPr>
          </w:p>
        </w:tc>
        <w:tc>
          <w:tcPr>
            <w:tcW w:w="2126" w:type="dxa"/>
          </w:tcPr>
          <w:p w14:paraId="2D9C8467" w14:textId="77777777" w:rsidR="00071977" w:rsidRPr="00D03536" w:rsidRDefault="00071977" w:rsidP="00F3767D">
            <w:pPr>
              <w:jc w:val="center"/>
              <w:rPr>
                <w:sz w:val="20"/>
                <w:lang w:val="en-GB"/>
              </w:rPr>
            </w:pPr>
          </w:p>
        </w:tc>
        <w:tc>
          <w:tcPr>
            <w:tcW w:w="1559" w:type="dxa"/>
          </w:tcPr>
          <w:p w14:paraId="6890298C" w14:textId="77777777" w:rsidR="00071977" w:rsidRPr="00D03536" w:rsidRDefault="00071977" w:rsidP="00F3767D">
            <w:pPr>
              <w:jc w:val="center"/>
              <w:rPr>
                <w:sz w:val="20"/>
                <w:lang w:val="en-GB"/>
              </w:rPr>
            </w:pPr>
          </w:p>
        </w:tc>
        <w:tc>
          <w:tcPr>
            <w:tcW w:w="2268" w:type="dxa"/>
          </w:tcPr>
          <w:p w14:paraId="7D96E0A8" w14:textId="77777777" w:rsidR="00071977" w:rsidRPr="00D03536" w:rsidRDefault="00071977" w:rsidP="00F3767D">
            <w:pPr>
              <w:jc w:val="center"/>
              <w:rPr>
                <w:sz w:val="20"/>
                <w:lang w:val="en-GB"/>
              </w:rPr>
            </w:pPr>
          </w:p>
        </w:tc>
        <w:tc>
          <w:tcPr>
            <w:tcW w:w="1985" w:type="dxa"/>
          </w:tcPr>
          <w:p w14:paraId="20359674" w14:textId="77777777" w:rsidR="00071977" w:rsidRPr="00D03536" w:rsidRDefault="00071977" w:rsidP="00F3767D">
            <w:pPr>
              <w:jc w:val="center"/>
              <w:rPr>
                <w:sz w:val="20"/>
                <w:lang w:val="en-GB"/>
              </w:rPr>
            </w:pPr>
          </w:p>
        </w:tc>
      </w:tr>
      <w:tr w:rsidR="00071977" w:rsidRPr="00D03536" w14:paraId="7A08F50A" w14:textId="77777777" w:rsidTr="00F3767D">
        <w:trPr>
          <w:cnfStyle w:val="000000100000" w:firstRow="0" w:lastRow="0" w:firstColumn="0" w:lastColumn="0" w:oddVBand="0" w:evenVBand="0" w:oddHBand="1" w:evenHBand="0" w:firstRowFirstColumn="0" w:firstRowLastColumn="0" w:lastRowFirstColumn="0" w:lastRowLastColumn="0"/>
        </w:trPr>
        <w:tc>
          <w:tcPr>
            <w:tcW w:w="560" w:type="dxa"/>
          </w:tcPr>
          <w:p w14:paraId="30C45D47" w14:textId="77777777" w:rsidR="00071977" w:rsidRPr="00D03536" w:rsidRDefault="00071977" w:rsidP="00F3767D">
            <w:pPr>
              <w:jc w:val="center"/>
              <w:rPr>
                <w:sz w:val="20"/>
                <w:szCs w:val="20"/>
                <w:lang w:val="en-GB"/>
              </w:rPr>
            </w:pPr>
            <w:r w:rsidRPr="64F07733">
              <w:rPr>
                <w:sz w:val="20"/>
                <w:szCs w:val="20"/>
                <w:lang w:val="en-GB"/>
              </w:rPr>
              <w:t>n+1</w:t>
            </w:r>
          </w:p>
        </w:tc>
        <w:tc>
          <w:tcPr>
            <w:tcW w:w="2837" w:type="dxa"/>
          </w:tcPr>
          <w:p w14:paraId="783B3A7E" w14:textId="77777777" w:rsidR="00071977" w:rsidRPr="00D03536" w:rsidRDefault="00071977" w:rsidP="00F3767D">
            <w:pPr>
              <w:jc w:val="center"/>
              <w:rPr>
                <w:sz w:val="20"/>
                <w:lang w:val="en-GB"/>
              </w:rPr>
            </w:pPr>
          </w:p>
        </w:tc>
        <w:tc>
          <w:tcPr>
            <w:tcW w:w="2552" w:type="dxa"/>
          </w:tcPr>
          <w:p w14:paraId="133FDB7A" w14:textId="77777777" w:rsidR="00071977" w:rsidRPr="00D03536" w:rsidRDefault="00071977" w:rsidP="00F3767D">
            <w:pPr>
              <w:jc w:val="center"/>
              <w:rPr>
                <w:sz w:val="20"/>
                <w:lang w:val="en-GB"/>
              </w:rPr>
            </w:pPr>
          </w:p>
        </w:tc>
        <w:tc>
          <w:tcPr>
            <w:tcW w:w="2126" w:type="dxa"/>
          </w:tcPr>
          <w:p w14:paraId="13D399C9" w14:textId="77777777" w:rsidR="00071977" w:rsidRPr="00D03536" w:rsidRDefault="00071977" w:rsidP="00F3767D">
            <w:pPr>
              <w:jc w:val="center"/>
              <w:rPr>
                <w:sz w:val="20"/>
                <w:lang w:val="en-GB"/>
              </w:rPr>
            </w:pPr>
          </w:p>
        </w:tc>
        <w:tc>
          <w:tcPr>
            <w:tcW w:w="1559" w:type="dxa"/>
          </w:tcPr>
          <w:p w14:paraId="37BF6BEB" w14:textId="77777777" w:rsidR="00071977" w:rsidRPr="00D03536" w:rsidRDefault="00071977" w:rsidP="00F3767D">
            <w:pPr>
              <w:jc w:val="center"/>
              <w:rPr>
                <w:sz w:val="20"/>
                <w:lang w:val="en-GB"/>
              </w:rPr>
            </w:pPr>
          </w:p>
        </w:tc>
        <w:tc>
          <w:tcPr>
            <w:tcW w:w="2268" w:type="dxa"/>
          </w:tcPr>
          <w:p w14:paraId="459BDD2E" w14:textId="77777777" w:rsidR="00071977" w:rsidRPr="00D03536" w:rsidRDefault="00071977" w:rsidP="00F3767D">
            <w:pPr>
              <w:jc w:val="center"/>
              <w:rPr>
                <w:sz w:val="20"/>
                <w:lang w:val="en-GB"/>
              </w:rPr>
            </w:pPr>
          </w:p>
        </w:tc>
        <w:tc>
          <w:tcPr>
            <w:tcW w:w="1985" w:type="dxa"/>
          </w:tcPr>
          <w:p w14:paraId="0780FA24" w14:textId="77777777" w:rsidR="00071977" w:rsidRPr="00D03536" w:rsidRDefault="00071977" w:rsidP="00F3767D">
            <w:pPr>
              <w:jc w:val="center"/>
              <w:rPr>
                <w:sz w:val="20"/>
                <w:lang w:val="en-GB"/>
              </w:rPr>
            </w:pPr>
          </w:p>
        </w:tc>
      </w:tr>
      <w:tr w:rsidR="00071977" w:rsidRPr="00D03536" w14:paraId="3D2F93F0" w14:textId="77777777" w:rsidTr="00F3767D">
        <w:tc>
          <w:tcPr>
            <w:tcW w:w="560" w:type="dxa"/>
          </w:tcPr>
          <w:p w14:paraId="44AD8927" w14:textId="77777777" w:rsidR="00071977" w:rsidRPr="00D03536" w:rsidRDefault="00071977" w:rsidP="00F3767D">
            <w:pPr>
              <w:jc w:val="center"/>
              <w:rPr>
                <w:sz w:val="20"/>
                <w:lang w:val="en-GB"/>
              </w:rPr>
            </w:pPr>
          </w:p>
        </w:tc>
        <w:tc>
          <w:tcPr>
            <w:tcW w:w="2837" w:type="dxa"/>
          </w:tcPr>
          <w:p w14:paraId="50737535" w14:textId="77777777" w:rsidR="00071977" w:rsidRPr="00D03536" w:rsidRDefault="00071977" w:rsidP="00F3767D">
            <w:pPr>
              <w:jc w:val="center"/>
              <w:rPr>
                <w:sz w:val="20"/>
                <w:lang w:val="en-GB"/>
              </w:rPr>
            </w:pPr>
          </w:p>
        </w:tc>
        <w:tc>
          <w:tcPr>
            <w:tcW w:w="2552" w:type="dxa"/>
          </w:tcPr>
          <w:p w14:paraId="78645C80" w14:textId="77777777" w:rsidR="00071977" w:rsidRPr="00D03536" w:rsidRDefault="00071977" w:rsidP="00F3767D">
            <w:pPr>
              <w:jc w:val="center"/>
              <w:rPr>
                <w:sz w:val="20"/>
                <w:lang w:val="en-GB"/>
              </w:rPr>
            </w:pPr>
          </w:p>
        </w:tc>
        <w:tc>
          <w:tcPr>
            <w:tcW w:w="2126" w:type="dxa"/>
          </w:tcPr>
          <w:p w14:paraId="3D3D8A12" w14:textId="77777777" w:rsidR="00071977" w:rsidRPr="00D03536" w:rsidRDefault="00071977" w:rsidP="00F3767D">
            <w:pPr>
              <w:jc w:val="center"/>
              <w:rPr>
                <w:sz w:val="20"/>
                <w:lang w:val="en-GB"/>
              </w:rPr>
            </w:pPr>
          </w:p>
        </w:tc>
        <w:tc>
          <w:tcPr>
            <w:tcW w:w="1559" w:type="dxa"/>
          </w:tcPr>
          <w:p w14:paraId="7CE699D8" w14:textId="77777777" w:rsidR="00071977" w:rsidRPr="00D03536" w:rsidRDefault="00071977" w:rsidP="00F3767D">
            <w:pPr>
              <w:jc w:val="center"/>
              <w:rPr>
                <w:sz w:val="20"/>
                <w:lang w:val="en-GB"/>
              </w:rPr>
            </w:pPr>
          </w:p>
        </w:tc>
        <w:tc>
          <w:tcPr>
            <w:tcW w:w="2268" w:type="dxa"/>
          </w:tcPr>
          <w:p w14:paraId="35A8F459" w14:textId="77777777" w:rsidR="00071977" w:rsidRPr="00D03536" w:rsidRDefault="00071977" w:rsidP="00F3767D">
            <w:pPr>
              <w:jc w:val="center"/>
              <w:rPr>
                <w:sz w:val="20"/>
                <w:lang w:val="en-GB"/>
              </w:rPr>
            </w:pPr>
          </w:p>
        </w:tc>
        <w:tc>
          <w:tcPr>
            <w:tcW w:w="1985" w:type="dxa"/>
          </w:tcPr>
          <w:p w14:paraId="2DB2BDFE" w14:textId="77777777" w:rsidR="00071977" w:rsidRPr="00D03536" w:rsidRDefault="00071977" w:rsidP="00F3767D">
            <w:pPr>
              <w:jc w:val="center"/>
              <w:rPr>
                <w:sz w:val="20"/>
                <w:lang w:val="en-GB"/>
              </w:rPr>
            </w:pPr>
          </w:p>
        </w:tc>
      </w:tr>
    </w:tbl>
    <w:p w14:paraId="654B2FC8" w14:textId="77777777" w:rsidR="00071977" w:rsidRPr="00D03536" w:rsidRDefault="00071977" w:rsidP="00071977">
      <w:pPr>
        <w:pStyle w:val="SLONormal"/>
        <w:rPr>
          <w:rFonts w:ascii="Myriad Pro" w:hAnsi="Myriad Pro"/>
          <w:sz w:val="20"/>
          <w:szCs w:val="20"/>
        </w:rPr>
      </w:pPr>
    </w:p>
    <w:p w14:paraId="10750472" w14:textId="77777777" w:rsidR="00071977" w:rsidRPr="00D03536" w:rsidRDefault="00071977" w:rsidP="00071977">
      <w:pPr>
        <w:pStyle w:val="SLONormal"/>
        <w:rPr>
          <w:rFonts w:ascii="Myriad Pro" w:hAnsi="Myriad Pro"/>
          <w:sz w:val="20"/>
          <w:szCs w:val="20"/>
        </w:rPr>
      </w:pPr>
    </w:p>
    <w:p w14:paraId="74383565" w14:textId="77777777" w:rsidR="00071977" w:rsidRPr="00D03536" w:rsidRDefault="00071977" w:rsidP="00071977">
      <w:pPr>
        <w:pStyle w:val="SLONormal"/>
        <w:jc w:val="left"/>
        <w:rPr>
          <w:rFonts w:ascii="Myriad Pro" w:hAnsi="Myriad Pro"/>
          <w:sz w:val="20"/>
          <w:szCs w:val="20"/>
        </w:rPr>
      </w:pPr>
      <w:r w:rsidRPr="64F07733">
        <w:rPr>
          <w:rFonts w:ascii="Myriad Pro" w:hAnsi="Myriad Pro"/>
          <w:sz w:val="20"/>
          <w:szCs w:val="20"/>
        </w:rPr>
        <w:t>______________________________</w:t>
      </w:r>
      <w:r>
        <w:br/>
      </w:r>
      <w:r w:rsidRPr="64F07733">
        <w:rPr>
          <w:rFonts w:ascii="Myriad Pro" w:hAnsi="Myriad Pro"/>
          <w:sz w:val="20"/>
          <w:szCs w:val="20"/>
        </w:rPr>
        <w:t>Date: [</w:t>
      </w:r>
      <w:r w:rsidRPr="64F07733">
        <w:rPr>
          <w:rFonts w:ascii="Myriad Pro" w:hAnsi="Myriad Pro"/>
          <w:i/>
          <w:iCs/>
          <w:sz w:val="20"/>
          <w:szCs w:val="20"/>
        </w:rPr>
        <w:t>date of signing</w:t>
      </w:r>
      <w:r w:rsidRPr="64F07733">
        <w:rPr>
          <w:rFonts w:ascii="Myriad Pro" w:hAnsi="Myriad Pro"/>
          <w:sz w:val="20"/>
          <w:szCs w:val="20"/>
        </w:rPr>
        <w:t>]</w:t>
      </w:r>
      <w:r>
        <w:br/>
      </w:r>
      <w:r w:rsidRPr="64F07733">
        <w:rPr>
          <w:rFonts w:ascii="Myriad Pro" w:hAnsi="Myriad Pro"/>
          <w:sz w:val="20"/>
          <w:szCs w:val="20"/>
        </w:rPr>
        <w:t>Name: [</w:t>
      </w:r>
      <w:r w:rsidRPr="64F07733">
        <w:rPr>
          <w:rFonts w:ascii="Myriad Pro" w:hAnsi="Myriad Pro"/>
          <w:i/>
          <w:iCs/>
          <w:sz w:val="20"/>
          <w:szCs w:val="20"/>
        </w:rPr>
        <w:t>name of the representative of the Tenderer</w:t>
      </w:r>
      <w:r w:rsidRPr="64F07733">
        <w:rPr>
          <w:rFonts w:ascii="Myriad Pro" w:hAnsi="Myriad Pro"/>
          <w:sz w:val="20"/>
          <w:szCs w:val="20"/>
        </w:rPr>
        <w:t>]</w:t>
      </w:r>
      <w:r>
        <w:br/>
      </w:r>
      <w:r w:rsidRPr="64F07733">
        <w:rPr>
          <w:rFonts w:ascii="Myriad Pro" w:hAnsi="Myriad Pro"/>
          <w:sz w:val="20"/>
          <w:szCs w:val="20"/>
        </w:rPr>
        <w:t>Position: [</w:t>
      </w:r>
      <w:r w:rsidRPr="64F07733">
        <w:rPr>
          <w:rFonts w:ascii="Myriad Pro" w:hAnsi="Myriad Pro"/>
          <w:i/>
          <w:iCs/>
          <w:sz w:val="20"/>
          <w:szCs w:val="20"/>
        </w:rPr>
        <w:t>position of the representative of the Tenderer</w:t>
      </w:r>
      <w:r w:rsidRPr="64F07733">
        <w:rPr>
          <w:rFonts w:ascii="Myriad Pro" w:hAnsi="Myriad Pro"/>
          <w:sz w:val="20"/>
          <w:szCs w:val="20"/>
        </w:rPr>
        <w:t>]</w:t>
      </w:r>
    </w:p>
    <w:p w14:paraId="2B65556F" w14:textId="77777777" w:rsidR="00071977" w:rsidRPr="00D03536" w:rsidRDefault="00071977" w:rsidP="00071977">
      <w:pPr>
        <w:pStyle w:val="SLONormal"/>
        <w:rPr>
          <w:rFonts w:ascii="Myriad Pro" w:hAnsi="Myriad Pro"/>
          <w:sz w:val="20"/>
          <w:szCs w:val="20"/>
        </w:rPr>
      </w:pPr>
    </w:p>
    <w:p w14:paraId="698B52F9" w14:textId="77777777" w:rsidR="00071977" w:rsidRPr="00D03536" w:rsidRDefault="00071977" w:rsidP="00071977">
      <w:pPr>
        <w:pStyle w:val="SLONormal"/>
        <w:rPr>
          <w:rFonts w:ascii="Myriad Pro" w:hAnsi="Myriad Pro"/>
          <w:sz w:val="20"/>
          <w:szCs w:val="20"/>
        </w:rPr>
      </w:pPr>
      <w:r w:rsidRPr="64F07733">
        <w:rPr>
          <w:rFonts w:ascii="Myriad Pro" w:hAnsi="Myriad Pro"/>
          <w:sz w:val="20"/>
          <w:szCs w:val="20"/>
        </w:rPr>
        <w:t xml:space="preserve">* If the value of the contract is in another currency than euro, for the purposes of this proposal it should be recalculated in euro in accordance with the currency exchange rate published by the European Central Bank on the date of signing of this document. </w:t>
      </w:r>
    </w:p>
    <w:p w14:paraId="20FAF785" w14:textId="77777777" w:rsidR="005E25B7" w:rsidRDefault="005E25B7">
      <w:bookmarkStart w:id="4" w:name="_GoBack"/>
      <w:bookmarkEnd w:id="4"/>
    </w:p>
    <w:sectPr w:rsidR="005E25B7" w:rsidSect="00071977">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25C44"/>
    <w:multiLevelType w:val="multilevel"/>
    <w:tmpl w:val="BF90AA2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lvl>
    </w:lvlOverride>
    <w:lvlOverride w:ilvl="2">
      <w:lvl w:ilvl="2">
        <w:start w:val="1"/>
        <w:numFmt w:val="decimal"/>
        <w:pStyle w:val="3rdlevelheading"/>
        <w:lvlText w:val="%1.%2.%3."/>
        <w:lvlJc w:val="left"/>
        <w:pPr>
          <w:ind w:left="1224" w:hanging="504"/>
        </w:pPr>
      </w:lvl>
    </w:lvlOverride>
    <w:lvlOverride w:ilvl="3">
      <w:lvl w:ilvl="3">
        <w:start w:val="1"/>
        <w:numFmt w:val="decimal"/>
        <w:pStyle w:val="4thlevelheading"/>
        <w:lvlText w:val="%1.%2.%3.%4."/>
        <w:lvlJc w:val="left"/>
        <w:pPr>
          <w:ind w:left="1728" w:hanging="648"/>
        </w:pPr>
      </w:lvl>
    </w:lvlOverride>
    <w:lvlOverride w:ilvl="4">
      <w:lvl w:ilvl="4">
        <w:start w:val="1"/>
        <w:numFmt w:val="decimal"/>
        <w:pStyle w:val="5thlevelheading"/>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77"/>
    <w:rsid w:val="00071977"/>
    <w:rsid w:val="005E2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C0BC"/>
  <w15:chartTrackingRefBased/>
  <w15:docId w15:val="{76D856C2-6D5E-42B9-8C1D-80F65EE2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071977"/>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071977"/>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071977"/>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071977"/>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071977"/>
    <w:pPr>
      <w:numPr>
        <w:ilvl w:val="2"/>
      </w:numPr>
      <w:outlineLvl w:val="2"/>
    </w:pPr>
    <w:rPr>
      <w:i/>
    </w:rPr>
  </w:style>
  <w:style w:type="paragraph" w:customStyle="1" w:styleId="4thlevelheading">
    <w:name w:val="4th level (heading)"/>
    <w:basedOn w:val="3rdlevelheading"/>
    <w:next w:val="SLONormal"/>
    <w:uiPriority w:val="1"/>
    <w:qFormat/>
    <w:rsid w:val="00071977"/>
    <w:pPr>
      <w:numPr>
        <w:ilvl w:val="3"/>
      </w:numPr>
      <w:spacing w:after="120"/>
      <w:outlineLvl w:val="3"/>
    </w:pPr>
    <w:rPr>
      <w:b w:val="0"/>
    </w:rPr>
  </w:style>
  <w:style w:type="paragraph" w:customStyle="1" w:styleId="5thlevelheading">
    <w:name w:val="5th level (heading)"/>
    <w:basedOn w:val="4thlevelheading"/>
    <w:next w:val="SLONormal"/>
    <w:uiPriority w:val="1"/>
    <w:qFormat/>
    <w:rsid w:val="00071977"/>
    <w:pPr>
      <w:numPr>
        <w:ilvl w:val="4"/>
      </w:numPr>
      <w:outlineLvl w:val="4"/>
    </w:pPr>
    <w:rPr>
      <w:i w:val="0"/>
      <w:u w:val="single"/>
    </w:rPr>
  </w:style>
  <w:style w:type="numbering" w:customStyle="1" w:styleId="SLONumberings">
    <w:name w:val="SLO_Numberings"/>
    <w:uiPriority w:val="99"/>
    <w:rsid w:val="00071977"/>
    <w:pPr>
      <w:numPr>
        <w:numId w:val="1"/>
      </w:numPr>
    </w:pPr>
  </w:style>
  <w:style w:type="table" w:styleId="ListTable3-Accent1">
    <w:name w:val="List Table 3 Accent 1"/>
    <w:basedOn w:val="TableNormal"/>
    <w:uiPriority w:val="48"/>
    <w:rsid w:val="00071977"/>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F249E-A6D6-4373-90C5-E157FD0B4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11E32-47D6-4DEB-A4FD-90BAB14E262C}">
  <ds:schemaRefs>
    <ds:schemaRef ds:uri="http://schemas.microsoft.com/sharepoint/v3/contenttype/forms"/>
  </ds:schemaRefs>
</ds:datastoreItem>
</file>

<file path=customXml/itemProps3.xml><?xml version="1.0" encoding="utf-8"?>
<ds:datastoreItem xmlns:ds="http://schemas.openxmlformats.org/officeDocument/2006/customXml" ds:itemID="{6E1A0AB2-896F-4D26-8BEF-FFBAE4F8632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16a8d99-7c2d-46f1-b2a0-cd04a8711ea3"/>
    <ds:schemaRef ds:uri="http://schemas.microsoft.com/office/2006/metadata/properties"/>
    <ds:schemaRef ds:uri="http://purl.org/dc/terms/"/>
    <ds:schemaRef ds:uri="74c9b134-2d46-4c40-a4e5-dc843e62e8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Lukševics</dc:creator>
  <cp:keywords/>
  <dc:description/>
  <cp:lastModifiedBy>Jānis Lukševics</cp:lastModifiedBy>
  <cp:revision>1</cp:revision>
  <dcterms:created xsi:type="dcterms:W3CDTF">2017-12-21T12:40:00Z</dcterms:created>
  <dcterms:modified xsi:type="dcterms:W3CDTF">2017-12-21T12:40:00Z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